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D6" w:rsidRDefault="00A465D6" w:rsidP="00A465D6">
      <w:pPr>
        <w:pStyle w:val="Title"/>
        <w:widowControl w:val="0"/>
        <w:pBdr>
          <w:bottom w:val="single" w:sz="8" w:space="4" w:color="404040" w:themeColor="text1" w:themeTint="BF"/>
        </w:pBdr>
        <w:autoSpaceDE w:val="0"/>
        <w:autoSpaceDN w:val="0"/>
        <w:adjustRightInd w:val="0"/>
        <w:spacing w:before="300" w:after="300"/>
        <w:contextualSpacing/>
        <w:jc w:val="left"/>
        <w:outlineLvl w:val="9"/>
        <w:rPr>
          <w:rFonts w:ascii="Times New Roman" w:eastAsiaTheme="majorEastAsia" w:hAnsi="Times New Roman" w:cstheme="majorBidi"/>
          <w:b w:val="0"/>
          <w:bCs w:val="0"/>
          <w:color w:val="000080"/>
          <w:spacing w:val="5"/>
          <w:sz w:val="72"/>
          <w:szCs w:val="52"/>
        </w:rPr>
      </w:pPr>
      <w:bookmarkStart w:id="0" w:name="_GoBack"/>
      <w:bookmarkEnd w:id="0"/>
    </w:p>
    <w:p w:rsidR="00A465D6" w:rsidRPr="00A465D6" w:rsidRDefault="00A465D6" w:rsidP="00A465D6">
      <w:pPr>
        <w:pStyle w:val="Title"/>
        <w:widowControl w:val="0"/>
        <w:pBdr>
          <w:bottom w:val="single" w:sz="8" w:space="4" w:color="404040" w:themeColor="text1" w:themeTint="BF"/>
        </w:pBdr>
        <w:autoSpaceDE w:val="0"/>
        <w:autoSpaceDN w:val="0"/>
        <w:adjustRightInd w:val="0"/>
        <w:spacing w:before="300" w:after="300"/>
        <w:contextualSpacing/>
        <w:jc w:val="left"/>
        <w:outlineLvl w:val="9"/>
        <w:rPr>
          <w:rFonts w:ascii="Times New Roman" w:eastAsiaTheme="majorEastAsia" w:hAnsi="Times New Roman" w:cstheme="majorBidi"/>
          <w:b w:val="0"/>
          <w:bCs w:val="0"/>
          <w:color w:val="000080"/>
          <w:spacing w:val="5"/>
          <w:sz w:val="72"/>
          <w:szCs w:val="52"/>
          <w:highlight w:val="lightGray"/>
        </w:rPr>
      </w:pPr>
      <w:r w:rsidRPr="005910BD">
        <w:rPr>
          <w:rFonts w:ascii="Times New Roman" w:eastAsiaTheme="majorEastAsia" w:hAnsi="Times New Roman" w:cstheme="majorBidi"/>
          <w:b w:val="0"/>
          <w:bCs w:val="0"/>
          <w:noProof/>
          <w:color w:val="000080"/>
          <w:spacing w:val="5"/>
          <w:sz w:val="72"/>
          <w:szCs w:val="52"/>
        </w:rPr>
        <w:drawing>
          <wp:inline distT="0" distB="0" distL="0" distR="0" wp14:anchorId="0A59DD37" wp14:editId="34884AB7">
            <wp:extent cx="5330099" cy="2649636"/>
            <wp:effectExtent l="0" t="0" r="4445"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0099" cy="2649636"/>
                    </a:xfrm>
                    <a:prstGeom prst="rect">
                      <a:avLst/>
                    </a:prstGeom>
                  </pic:spPr>
                </pic:pic>
              </a:graphicData>
            </a:graphic>
          </wp:inline>
        </w:drawing>
      </w:r>
    </w:p>
    <w:p w:rsidR="00A465D6" w:rsidRPr="00A465D6" w:rsidRDefault="00A465D6" w:rsidP="00A465D6">
      <w:pPr>
        <w:pStyle w:val="Title"/>
        <w:widowControl w:val="0"/>
        <w:pBdr>
          <w:bottom w:val="single" w:sz="8" w:space="4" w:color="404040" w:themeColor="text1" w:themeTint="BF"/>
        </w:pBdr>
        <w:autoSpaceDE w:val="0"/>
        <w:autoSpaceDN w:val="0"/>
        <w:adjustRightInd w:val="0"/>
        <w:spacing w:before="300" w:after="300"/>
        <w:contextualSpacing/>
        <w:jc w:val="left"/>
        <w:outlineLvl w:val="9"/>
        <w:rPr>
          <w:rFonts w:ascii="Times New Roman" w:eastAsiaTheme="majorEastAsia" w:hAnsi="Times New Roman" w:cstheme="majorBidi"/>
          <w:b w:val="0"/>
          <w:bCs w:val="0"/>
          <w:color w:val="000080"/>
          <w:spacing w:val="5"/>
          <w:sz w:val="72"/>
          <w:szCs w:val="52"/>
          <w:highlight w:val="lightGray"/>
        </w:rPr>
      </w:pPr>
    </w:p>
    <w:p w:rsidR="00A465D6" w:rsidRPr="00A465D6" w:rsidRDefault="00A465D6" w:rsidP="00A465D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0080"/>
          <w:spacing w:val="5"/>
          <w:sz w:val="72"/>
          <w:szCs w:val="52"/>
          <w:highlight w:val="lightGray"/>
        </w:rPr>
      </w:pPr>
    </w:p>
    <w:p w:rsidR="00901331" w:rsidRDefault="00901331" w:rsidP="00A465D6">
      <w:pPr>
        <w:pStyle w:val="Title"/>
        <w:widowControl w:val="0"/>
        <w:pBdr>
          <w:bottom w:val="single" w:sz="8" w:space="4" w:color="404040" w:themeColor="text1" w:themeTint="BF"/>
        </w:pBdr>
        <w:shd w:val="clear" w:color="auto" w:fill="FFFFFF" w:themeFill="background1"/>
        <w:autoSpaceDE w:val="0"/>
        <w:autoSpaceDN w:val="0"/>
        <w:adjustRightInd w:val="0"/>
        <w:spacing w:before="4800" w:after="300"/>
        <w:contextualSpacing/>
        <w:jc w:val="left"/>
        <w:outlineLvl w:val="9"/>
        <w:rPr>
          <w:rFonts w:ascii="Times New Roman" w:eastAsiaTheme="majorEastAsia" w:hAnsi="Times New Roman" w:cstheme="majorBidi"/>
          <w:b w:val="0"/>
          <w:bCs w:val="0"/>
          <w:color w:val="000080"/>
          <w:spacing w:val="5"/>
          <w:sz w:val="72"/>
          <w:szCs w:val="52"/>
        </w:rPr>
      </w:pPr>
    </w:p>
    <w:p w:rsidR="00A465D6" w:rsidRDefault="00A465D6" w:rsidP="00A465D6">
      <w:pPr>
        <w:pStyle w:val="Title"/>
        <w:widowControl w:val="0"/>
        <w:pBdr>
          <w:bottom w:val="single" w:sz="8" w:space="4" w:color="404040" w:themeColor="text1" w:themeTint="BF"/>
        </w:pBdr>
        <w:shd w:val="clear" w:color="auto" w:fill="FFFFFF" w:themeFill="background1"/>
        <w:autoSpaceDE w:val="0"/>
        <w:autoSpaceDN w:val="0"/>
        <w:adjustRightInd w:val="0"/>
        <w:spacing w:before="4800" w:after="300"/>
        <w:contextualSpacing/>
        <w:jc w:val="left"/>
        <w:outlineLvl w:val="9"/>
        <w:rPr>
          <w:rFonts w:eastAsiaTheme="majorEastAsia" w:cstheme="majorBidi"/>
          <w:color w:val="000080"/>
          <w:spacing w:val="5"/>
          <w:sz w:val="72"/>
          <w:szCs w:val="52"/>
        </w:rPr>
      </w:pPr>
      <w:r w:rsidRPr="00A465D6">
        <w:rPr>
          <w:rFonts w:ascii="Times New Roman" w:eastAsiaTheme="majorEastAsia" w:hAnsi="Times New Roman" w:cstheme="majorBidi"/>
          <w:b w:val="0"/>
          <w:bCs w:val="0"/>
          <w:color w:val="000080"/>
          <w:spacing w:val="5"/>
          <w:sz w:val="72"/>
          <w:szCs w:val="52"/>
        </w:rPr>
        <w:t>eFINDS Quarterly Drill</w:t>
      </w:r>
      <w:r>
        <w:rPr>
          <w:rFonts w:ascii="Times New Roman" w:eastAsiaTheme="majorEastAsia" w:hAnsi="Times New Roman" w:cstheme="majorBidi"/>
          <w:b w:val="0"/>
          <w:bCs w:val="0"/>
          <w:color w:val="000080"/>
          <w:spacing w:val="5"/>
          <w:sz w:val="72"/>
          <w:szCs w:val="52"/>
        </w:rPr>
        <w:t xml:space="preserve"> </w:t>
      </w:r>
    </w:p>
    <w:p w:rsidR="00A43A33" w:rsidRDefault="008D6580">
      <w:pPr>
        <w:pStyle w:val="Subtitle"/>
      </w:pPr>
      <w:r>
        <w:t>Exercise Plan</w:t>
      </w:r>
    </w:p>
    <w:p w:rsidR="00A43A33" w:rsidRDefault="001B5824">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w:t>
      </w:r>
      <w:r w:rsidR="00B84C72" w:rsidRPr="001707F7">
        <w:rPr>
          <w:rFonts w:ascii="Arial" w:hAnsi="Arial" w:cs="Arial"/>
          <w:color w:val="404040" w:themeColor="text1" w:themeTint="BF"/>
          <w:sz w:val="32"/>
          <w:szCs w:val="32"/>
          <w:highlight w:val="lightGray"/>
        </w:rPr>
        <w:t>Date</w:t>
      </w:r>
      <w:r w:rsidRPr="001B5824">
        <w:rPr>
          <w:rFonts w:ascii="Arial" w:hAnsi="Arial" w:cs="Arial"/>
          <w:color w:val="404040" w:themeColor="text1" w:themeTint="BF"/>
          <w:sz w:val="32"/>
          <w:szCs w:val="32"/>
          <w:highlight w:val="lightGray"/>
        </w:rPr>
        <w:t>]</w:t>
      </w:r>
    </w:p>
    <w:p w:rsidR="00F54B4C" w:rsidRDefault="008D6580" w:rsidP="00F54B4C">
      <w:pPr>
        <w:pStyle w:val="CoverPageSummary"/>
        <w:sectPr w:rsidR="00F54B4C" w:rsidSect="00C00CAA">
          <w:footerReference w:type="default" r:id="rId9"/>
          <w:pgSz w:w="12240" w:h="15840" w:code="1"/>
          <w:pgMar w:top="1440" w:right="1440" w:bottom="1440" w:left="1440" w:header="72" w:footer="1032" w:gutter="0"/>
          <w:pgNumType w:fmt="lowerRoman" w:start="3"/>
          <w:cols w:space="720"/>
          <w:docGrid w:linePitch="360"/>
        </w:sectPr>
      </w:pPr>
      <w:r w:rsidRPr="00B84C72">
        <w:t xml:space="preserve">The </w:t>
      </w:r>
      <w:r>
        <w:t>Exercise Plan (ExPlan)</w:t>
      </w:r>
      <w:r w:rsidRPr="00B84C72">
        <w:t xml:space="preserve"> </w:t>
      </w:r>
      <w:r>
        <w:t xml:space="preserve">gives </w:t>
      </w:r>
      <w:r w:rsidR="00F875F0">
        <w:t xml:space="preserve">elected and appointed </w:t>
      </w:r>
      <w:r>
        <w:t>officials, observers, media personnel, and players from participating organizations information they need to observe or participate in the exercise.  Some exercise material is intended for the exclusive use of exercise planners, controllers, and evaluators, but players may view other materials that are necessary to their performance.  All exercise participants may view the ExPlan.</w:t>
      </w:r>
    </w:p>
    <w:p w:rsidR="00A43A33" w:rsidRDefault="00011F2A">
      <w:pPr>
        <w:pStyle w:val="Heading1"/>
        <w:rPr>
          <w:rFonts w:ascii="Arial" w:hAnsi="Arial"/>
        </w:rPr>
      </w:pPr>
      <w:r w:rsidRPr="00FD0FD1">
        <w:rPr>
          <w:rFonts w:ascii="Arial" w:hAnsi="Arial"/>
        </w:rPr>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723A64" w:rsidRPr="001D6096" w:rsidTr="00C62497">
        <w:trPr>
          <w:trHeight w:val="437"/>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723A64" w:rsidRPr="00A07A32" w:rsidRDefault="00A465D6" w:rsidP="00C62497">
            <w:pPr>
              <w:spacing w:before="120" w:after="120"/>
              <w:rPr>
                <w:b/>
                <w:szCs w:val="20"/>
              </w:rPr>
            </w:pPr>
            <w:r w:rsidRPr="00A465D6">
              <w:rPr>
                <w:szCs w:val="20"/>
              </w:rPr>
              <w:t>eFINDS Quarterly Drill</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723A64" w:rsidRPr="00A07A32" w:rsidRDefault="00723A64" w:rsidP="00C62497">
            <w:pPr>
              <w:spacing w:before="120" w:after="120"/>
              <w:rPr>
                <w:b/>
                <w:szCs w:val="20"/>
                <w:highlight w:val="lightGray"/>
              </w:rPr>
            </w:pPr>
            <w:r w:rsidRPr="00A07A32">
              <w:rPr>
                <w:szCs w:val="20"/>
                <w:highlight w:val="lightGray"/>
              </w:rPr>
              <w:t>[Indicate the start and end dates of the exercise]</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723A64" w:rsidRPr="00A07A32" w:rsidRDefault="00A465D6" w:rsidP="00C62497">
            <w:pPr>
              <w:pStyle w:val="BodyText"/>
              <w:rPr>
                <w:highlight w:val="lightGray"/>
              </w:rPr>
            </w:pPr>
            <w:r w:rsidRPr="00A465D6">
              <w:t xml:space="preserve">The eFINDS Quarterly Drill is a series of small exercises designed to provide an opportunity for hospitals in the Sub-Regions of the Western Region Health Emergency Preparedness Coalition (WRHEPC) to maintain their patient tracking capabilities using the NYS DOH Evacuation of Facilities In Disaster System (eFINDS).  </w:t>
            </w:r>
            <w:r w:rsidR="009A3764">
              <w:t>The drill is limited to the simulated movement and tracking of patients using eFINDS.  No actual movement of patients will occur.</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723A64" w:rsidRPr="00A07A32" w:rsidRDefault="00723A64" w:rsidP="00A465D6">
            <w:pPr>
              <w:spacing w:before="120" w:after="120"/>
              <w:rPr>
                <w:b/>
                <w:szCs w:val="20"/>
                <w:highlight w:val="lightGray"/>
              </w:rPr>
            </w:pPr>
            <w:r w:rsidRPr="00A465D6">
              <w:rPr>
                <w:szCs w:val="20"/>
              </w:rPr>
              <w:t>Response</w:t>
            </w:r>
            <w:r w:rsidR="00A465D6" w:rsidRPr="00A465D6">
              <w:rPr>
                <w:szCs w:val="20"/>
              </w:rPr>
              <w:t xml:space="preserve">, </w:t>
            </w:r>
            <w:r w:rsidRPr="00A465D6">
              <w:rPr>
                <w:szCs w:val="20"/>
              </w:rPr>
              <w:t>Recovery</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rsidR="00723A64" w:rsidRPr="00A07A32" w:rsidRDefault="00A465D6" w:rsidP="00C62497">
            <w:pPr>
              <w:spacing w:before="120" w:after="120"/>
              <w:rPr>
                <w:szCs w:val="20"/>
                <w:highlight w:val="lightGray"/>
              </w:rPr>
            </w:pPr>
            <w:r w:rsidRPr="00A465D6">
              <w:rPr>
                <w:szCs w:val="20"/>
              </w:rPr>
              <w:t>Continuity of Health Care Service Delivery</w:t>
            </w:r>
          </w:p>
        </w:tc>
      </w:tr>
      <w:tr w:rsidR="00723A64" w:rsidRPr="001D6096" w:rsidTr="00C62497">
        <w:trPr>
          <w:trHeight w:val="432"/>
        </w:trPr>
        <w:tc>
          <w:tcPr>
            <w:tcW w:w="1908" w:type="dxa"/>
            <w:shd w:val="clear" w:color="auto" w:fill="000080"/>
            <w:vAlign w:val="center"/>
          </w:tcPr>
          <w:p w:rsidR="00723A64" w:rsidRDefault="00723A64" w:rsidP="00C62497">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723A64" w:rsidRPr="00A07A32" w:rsidRDefault="00A465D6" w:rsidP="00C62497">
            <w:pPr>
              <w:spacing w:before="120" w:after="120"/>
              <w:rPr>
                <w:szCs w:val="20"/>
                <w:highlight w:val="lightGray"/>
              </w:rPr>
            </w:pPr>
            <w:r w:rsidRPr="00A465D6">
              <w:rPr>
                <w:szCs w:val="20"/>
              </w:rPr>
              <w:t>Assess the Hospital’s capability to plan for and coordinate health care evacuation and relocation using the NYS DOH Evacuation of Facilities In Disaster System (eFINDS).</w:t>
            </w:r>
          </w:p>
        </w:tc>
      </w:tr>
      <w:tr w:rsidR="00723A64" w:rsidRPr="001D6096" w:rsidTr="00C62497">
        <w:trPr>
          <w:trHeight w:val="432"/>
        </w:trPr>
        <w:tc>
          <w:tcPr>
            <w:tcW w:w="1908" w:type="dxa"/>
            <w:shd w:val="clear" w:color="auto" w:fill="000080"/>
            <w:vAlign w:val="center"/>
          </w:tcPr>
          <w:p w:rsidR="00723A64" w:rsidRDefault="00723A64" w:rsidP="00C62497">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rsidR="00723A64" w:rsidRPr="00A07A32" w:rsidRDefault="00A465D6" w:rsidP="00A465D6">
            <w:pPr>
              <w:spacing w:before="120" w:after="120"/>
              <w:rPr>
                <w:szCs w:val="20"/>
                <w:highlight w:val="lightGray"/>
              </w:rPr>
            </w:pPr>
            <w:r w:rsidRPr="00A465D6">
              <w:rPr>
                <w:szCs w:val="20"/>
              </w:rPr>
              <w:t>Hospital Evacuation , Medical Surge</w:t>
            </w:r>
          </w:p>
        </w:tc>
      </w:tr>
      <w:tr w:rsidR="00723A64" w:rsidRPr="001D6096" w:rsidTr="00C62497">
        <w:trPr>
          <w:trHeight w:val="432"/>
        </w:trPr>
        <w:tc>
          <w:tcPr>
            <w:tcW w:w="1908" w:type="dxa"/>
            <w:shd w:val="clear" w:color="auto" w:fill="000080"/>
            <w:vAlign w:val="center"/>
          </w:tcPr>
          <w:p w:rsidR="00723A64" w:rsidRDefault="00723A64" w:rsidP="00C62497">
            <w:pPr>
              <w:spacing w:before="120" w:after="120"/>
              <w:jc w:val="center"/>
              <w:rPr>
                <w:b/>
                <w:color w:val="FFFFFF" w:themeColor="background1"/>
                <w:szCs w:val="20"/>
              </w:rPr>
            </w:pPr>
            <w:r>
              <w:rPr>
                <w:b/>
                <w:color w:val="FFFFFF" w:themeColor="background1"/>
                <w:szCs w:val="20"/>
              </w:rPr>
              <w:t>Scenario</w:t>
            </w:r>
          </w:p>
        </w:tc>
        <w:tc>
          <w:tcPr>
            <w:tcW w:w="7668" w:type="dxa"/>
            <w:vAlign w:val="center"/>
          </w:tcPr>
          <w:p w:rsidR="00723A64" w:rsidRPr="00A07A32" w:rsidRDefault="00A465D6" w:rsidP="009A3764">
            <w:pPr>
              <w:spacing w:before="120" w:after="120"/>
              <w:rPr>
                <w:szCs w:val="20"/>
                <w:highlight w:val="lightGray"/>
              </w:rPr>
            </w:pPr>
            <w:r w:rsidRPr="009A3764">
              <w:rPr>
                <w:szCs w:val="20"/>
              </w:rPr>
              <w:t xml:space="preserve">One of the Sub-Region partner hospitals has experienced an emergency requiring the evacuation of patients. </w:t>
            </w:r>
            <w:r w:rsidR="00C62497" w:rsidRPr="009A3764">
              <w:rPr>
                <w:szCs w:val="20"/>
              </w:rPr>
              <w:t xml:space="preserve"> </w:t>
            </w:r>
            <w:r w:rsidRPr="009A3764">
              <w:rPr>
                <w:szCs w:val="20"/>
              </w:rPr>
              <w:t xml:space="preserve"> </w:t>
            </w:r>
            <w:r w:rsidR="009A3764" w:rsidRPr="009A3764">
              <w:rPr>
                <w:szCs w:val="20"/>
              </w:rPr>
              <w:t>The NYS DOH eFINDS will be used to track the movement of patients between facilities.  The evacuation and receipt of patients will be completed within 24 hours.</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723A64" w:rsidRPr="00A07A32" w:rsidRDefault="00A465D6" w:rsidP="00C62497">
            <w:pPr>
              <w:spacing w:before="120" w:after="120"/>
              <w:rPr>
                <w:b/>
                <w:szCs w:val="20"/>
                <w:highlight w:val="lightGray"/>
              </w:rPr>
            </w:pPr>
            <w:r w:rsidRPr="00A465D6">
              <w:rPr>
                <w:szCs w:val="20"/>
              </w:rPr>
              <w:t>Western Region Health Emergency Preparedness Coalition</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723A64" w:rsidRPr="00A07A32" w:rsidRDefault="00723A64" w:rsidP="00A465D6">
            <w:pPr>
              <w:spacing w:before="120" w:after="120"/>
              <w:rPr>
                <w:szCs w:val="20"/>
                <w:highlight w:val="lightGray"/>
              </w:rPr>
            </w:pPr>
            <w:r w:rsidRPr="00A07A32">
              <w:rPr>
                <w:highlight w:val="lightGray"/>
              </w:rPr>
              <w:t>[</w:t>
            </w:r>
            <w:r w:rsidR="00A465D6">
              <w:rPr>
                <w:highlight w:val="lightGray"/>
              </w:rPr>
              <w:t>List Sub-Region Healthcare Facilities participating in the quarterly drills</w:t>
            </w:r>
            <w:r>
              <w:rPr>
                <w:highlight w:val="lightGray"/>
              </w:rPr>
              <w:t>.</w:t>
            </w:r>
            <w:r w:rsidRPr="00A07A32">
              <w:rPr>
                <w:highlight w:val="lightGray"/>
              </w:rPr>
              <w:t>]</w:t>
            </w:r>
          </w:p>
        </w:tc>
      </w:tr>
      <w:tr w:rsidR="00723A64" w:rsidRPr="001D6096" w:rsidTr="00C62497">
        <w:trPr>
          <w:trHeight w:val="432"/>
        </w:trPr>
        <w:tc>
          <w:tcPr>
            <w:tcW w:w="1908" w:type="dxa"/>
            <w:shd w:val="clear" w:color="auto" w:fill="000080"/>
            <w:vAlign w:val="center"/>
          </w:tcPr>
          <w:p w:rsidR="00723A64" w:rsidRPr="00E37AC9" w:rsidRDefault="00723A64" w:rsidP="00C62497">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723A64" w:rsidRPr="00A07A32" w:rsidRDefault="00723A64" w:rsidP="00C62497">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A43A33" w:rsidRDefault="00A43A33">
      <w:pPr>
        <w:pStyle w:val="BodyText"/>
      </w:pPr>
    </w:p>
    <w:p w:rsidR="00F559A9" w:rsidRPr="00011F2A" w:rsidRDefault="00F559A9" w:rsidP="002D13B0">
      <w:pPr>
        <w:pStyle w:val="BodyText"/>
        <w:sectPr w:rsidR="00F559A9" w:rsidRPr="00011F2A" w:rsidSect="002D13B0">
          <w:headerReference w:type="default" r:id="rId10"/>
          <w:footerReference w:type="default" r:id="rId11"/>
          <w:pgSz w:w="12240" w:h="15840" w:code="1"/>
          <w:pgMar w:top="1440" w:right="1440" w:bottom="1440" w:left="1440" w:header="432" w:footer="432" w:gutter="0"/>
          <w:pgNumType w:start="1"/>
          <w:cols w:space="720"/>
          <w:docGrid w:linePitch="360"/>
        </w:sectPr>
      </w:pPr>
    </w:p>
    <w:p w:rsidR="00A43A33" w:rsidRDefault="00657735">
      <w:pPr>
        <w:pStyle w:val="Heading1"/>
      </w:pPr>
      <w:bookmarkStart w:id="1" w:name="_Toc335992123"/>
      <w:bookmarkStart w:id="2" w:name="_Toc336197855"/>
      <w:bookmarkStart w:id="3" w:name="_Toc336596348"/>
      <w:r>
        <w:t>General Information</w:t>
      </w:r>
    </w:p>
    <w:p w:rsidR="009A3764" w:rsidRPr="009A3764" w:rsidRDefault="009A3764" w:rsidP="009A3764">
      <w:pPr>
        <w:keepNext/>
        <w:spacing w:before="240" w:after="160"/>
        <w:outlineLvl w:val="1"/>
        <w:rPr>
          <w:rFonts w:ascii="Arial" w:hAnsi="Arial" w:cs="Arial"/>
          <w:b/>
          <w:bCs/>
          <w:iCs/>
          <w:color w:val="000080"/>
          <w:sz w:val="28"/>
          <w:szCs w:val="28"/>
        </w:rPr>
      </w:pPr>
      <w:bookmarkStart w:id="4" w:name="_Toc224551395"/>
      <w:r w:rsidRPr="009A3764">
        <w:rPr>
          <w:rFonts w:ascii="Arial" w:hAnsi="Arial" w:cs="Arial"/>
          <w:b/>
          <w:bCs/>
          <w:iCs/>
          <w:color w:val="000080"/>
          <w:sz w:val="28"/>
          <w:szCs w:val="28"/>
        </w:rPr>
        <w:t>Introduction</w:t>
      </w:r>
      <w:bookmarkEnd w:id="4"/>
    </w:p>
    <w:p w:rsidR="009A3764" w:rsidRPr="009A3764" w:rsidRDefault="009A3764" w:rsidP="009A3764">
      <w:pPr>
        <w:spacing w:after="160"/>
      </w:pPr>
      <w:r w:rsidRPr="009A3764">
        <w:t xml:space="preserve">The eFINDS Quarterly Drill is a series of small exercises designed to provide an opportunity for hospitals in the Sub-Regions of the Western Region Health Emergency Preparedness Coalition (WRHEPC) to maintain their patient tracking capabilities using the NYS DOH Evacuation of Facilities In Disaster System (eFINDS).  </w:t>
      </w:r>
    </w:p>
    <w:p w:rsidR="009A3764" w:rsidRPr="009A3764" w:rsidRDefault="009A3764" w:rsidP="009A3764">
      <w:pPr>
        <w:spacing w:after="160"/>
      </w:pPr>
      <w:r w:rsidRPr="009A3764">
        <w:t>Annually, each Sub-Region will develop a schedule of quarterly eFINDS drills which</w:t>
      </w:r>
      <w:r w:rsidR="007E1C4F">
        <w:t xml:space="preserve"> will rotate the role of i</w:t>
      </w:r>
      <w:r w:rsidRPr="009A3764">
        <w:t>nitiating</w:t>
      </w:r>
      <w:r w:rsidR="007E1C4F">
        <w:t xml:space="preserve"> or “Sending” f</w:t>
      </w:r>
      <w:r w:rsidRPr="009A3764">
        <w:t>acility between its member hospitals.  The remaining facilities will fill the role of receiving hospitals for the quarter.</w:t>
      </w:r>
    </w:p>
    <w:p w:rsidR="009A3764" w:rsidRPr="009A3764" w:rsidRDefault="009A3764" w:rsidP="009A3764">
      <w:pPr>
        <w:spacing w:after="160"/>
      </w:pPr>
      <w:r w:rsidRPr="009A3764">
        <w:t xml:space="preserve">This Exercise Plan (ExPlan) was produced at the direction of the </w:t>
      </w:r>
      <w:r>
        <w:t>WRHEPC</w:t>
      </w:r>
      <w:r w:rsidRPr="009A3764">
        <w:t xml:space="preserve"> with the input, advice, and assistance of the eFINDS Quarterly Drill </w:t>
      </w:r>
      <w:r>
        <w:t>working group.</w:t>
      </w:r>
    </w:p>
    <w:p w:rsidR="009A3764" w:rsidRPr="009A3764" w:rsidRDefault="009A3764" w:rsidP="009A3764">
      <w:pPr>
        <w:keepNext/>
        <w:spacing w:before="240" w:after="160"/>
        <w:outlineLvl w:val="1"/>
        <w:rPr>
          <w:rFonts w:ascii="Arial Bold" w:hAnsi="Arial Bold" w:cs="Arial"/>
          <w:b/>
          <w:bCs/>
          <w:iCs/>
          <w:color w:val="002B82"/>
          <w:sz w:val="28"/>
          <w:szCs w:val="28"/>
        </w:rPr>
      </w:pPr>
      <w:bookmarkStart w:id="5" w:name="_Toc224551403"/>
      <w:r w:rsidRPr="009A3764">
        <w:rPr>
          <w:rFonts w:ascii="Arial Bold" w:hAnsi="Arial Bold" w:cs="Arial"/>
          <w:b/>
          <w:bCs/>
          <w:iCs/>
          <w:color w:val="002B82"/>
          <w:sz w:val="28"/>
          <w:szCs w:val="28"/>
        </w:rPr>
        <w:t xml:space="preserve">Exercise </w:t>
      </w:r>
      <w:bookmarkEnd w:id="5"/>
      <w:r>
        <w:rPr>
          <w:rFonts w:ascii="Arial Bold" w:hAnsi="Arial Bold" w:cs="Arial"/>
          <w:b/>
          <w:bCs/>
          <w:iCs/>
          <w:color w:val="002B82"/>
          <w:sz w:val="28"/>
          <w:szCs w:val="28"/>
        </w:rPr>
        <w:t>Play</w:t>
      </w:r>
    </w:p>
    <w:p w:rsidR="009A3764" w:rsidRDefault="009A3764">
      <w:pPr>
        <w:pStyle w:val="Heading2"/>
        <w:rPr>
          <w:rFonts w:ascii="Times New Roman" w:hAnsi="Times New Roman" w:cs="Times New Roman"/>
          <w:b w:val="0"/>
          <w:bCs w:val="0"/>
          <w:iCs w:val="0"/>
          <w:color w:val="auto"/>
          <w:sz w:val="24"/>
          <w:szCs w:val="24"/>
        </w:rPr>
      </w:pPr>
      <w:r w:rsidRPr="00CF07B3">
        <w:rPr>
          <w:rFonts w:ascii="Times New Roman" w:hAnsi="Times New Roman" w:cs="Times New Roman"/>
          <w:b w:val="0"/>
          <w:bCs w:val="0"/>
          <w:iCs w:val="0"/>
          <w:color w:val="auto"/>
          <w:sz w:val="24"/>
          <w:szCs w:val="24"/>
        </w:rPr>
        <w:t>Exercise play will begin each quarter according to the published schedule.  The</w:t>
      </w:r>
      <w:r w:rsidR="00CF07B3" w:rsidRPr="00CF07B3">
        <w:rPr>
          <w:rFonts w:ascii="Times New Roman" w:hAnsi="Times New Roman" w:cs="Times New Roman"/>
          <w:b w:val="0"/>
          <w:bCs w:val="0"/>
          <w:iCs w:val="0"/>
          <w:color w:val="auto"/>
          <w:sz w:val="24"/>
          <w:szCs w:val="24"/>
        </w:rPr>
        <w:t xml:space="preserve"> i</w:t>
      </w:r>
      <w:r w:rsidRPr="00CF07B3">
        <w:rPr>
          <w:rFonts w:ascii="Times New Roman" w:hAnsi="Times New Roman" w:cs="Times New Roman"/>
          <w:b w:val="0"/>
          <w:bCs w:val="0"/>
          <w:iCs w:val="0"/>
          <w:color w:val="auto"/>
          <w:sz w:val="24"/>
          <w:szCs w:val="24"/>
        </w:rPr>
        <w:t>nitiating</w:t>
      </w:r>
      <w:r w:rsidR="00CF07B3">
        <w:rPr>
          <w:rFonts w:ascii="Times New Roman" w:hAnsi="Times New Roman" w:cs="Times New Roman"/>
          <w:b w:val="0"/>
          <w:bCs w:val="0"/>
          <w:iCs w:val="0"/>
          <w:color w:val="auto"/>
          <w:sz w:val="24"/>
          <w:szCs w:val="24"/>
        </w:rPr>
        <w:t>,</w:t>
      </w:r>
      <w:r w:rsidR="00CF07B3" w:rsidRPr="00CF07B3">
        <w:rPr>
          <w:rFonts w:ascii="Times New Roman" w:hAnsi="Times New Roman" w:cs="Times New Roman"/>
          <w:b w:val="0"/>
          <w:bCs w:val="0"/>
          <w:iCs w:val="0"/>
          <w:color w:val="auto"/>
          <w:sz w:val="24"/>
          <w:szCs w:val="24"/>
        </w:rPr>
        <w:t xml:space="preserve"> “Sending”</w:t>
      </w:r>
      <w:r w:rsidRPr="00CF07B3">
        <w:rPr>
          <w:rFonts w:ascii="Times New Roman" w:hAnsi="Times New Roman" w:cs="Times New Roman"/>
          <w:b w:val="0"/>
          <w:bCs w:val="0"/>
          <w:iCs w:val="0"/>
          <w:color w:val="auto"/>
          <w:sz w:val="24"/>
          <w:szCs w:val="24"/>
        </w:rPr>
        <w:t xml:space="preserve"> Facility will begin the drill by establishing an Operation in eFINDS and sending a STARTEX message to their partner facilities.  The message must include the name of the operation.  The </w:t>
      </w:r>
      <w:r w:rsidR="00CF07B3" w:rsidRPr="00CF07B3">
        <w:rPr>
          <w:rFonts w:ascii="Times New Roman" w:hAnsi="Times New Roman" w:cs="Times New Roman"/>
          <w:b w:val="0"/>
          <w:bCs w:val="0"/>
          <w:iCs w:val="0"/>
          <w:color w:val="auto"/>
          <w:sz w:val="24"/>
          <w:szCs w:val="24"/>
        </w:rPr>
        <w:t xml:space="preserve">“Sending” </w:t>
      </w:r>
      <w:r w:rsidRPr="00CF07B3">
        <w:rPr>
          <w:rFonts w:ascii="Times New Roman" w:hAnsi="Times New Roman" w:cs="Times New Roman"/>
          <w:b w:val="0"/>
          <w:bCs w:val="0"/>
          <w:iCs w:val="0"/>
          <w:color w:val="auto"/>
          <w:sz w:val="24"/>
          <w:szCs w:val="24"/>
        </w:rPr>
        <w:t xml:space="preserve">Facility will upload and assign (send) a representative number of simulated patients to the other participating facilities.  </w:t>
      </w:r>
      <w:r w:rsidR="00CF07B3">
        <w:rPr>
          <w:rFonts w:ascii="Times New Roman" w:hAnsi="Times New Roman" w:cs="Times New Roman"/>
          <w:b w:val="0"/>
          <w:bCs w:val="0"/>
          <w:iCs w:val="0"/>
          <w:color w:val="auto"/>
          <w:sz w:val="24"/>
          <w:szCs w:val="24"/>
        </w:rPr>
        <w:t>“</w:t>
      </w:r>
      <w:r w:rsidRPr="00CF07B3">
        <w:rPr>
          <w:rFonts w:ascii="Times New Roman" w:hAnsi="Times New Roman" w:cs="Times New Roman"/>
          <w:b w:val="0"/>
          <w:bCs w:val="0"/>
          <w:iCs w:val="0"/>
          <w:color w:val="auto"/>
          <w:sz w:val="24"/>
          <w:szCs w:val="24"/>
        </w:rPr>
        <w:t>Receiving</w:t>
      </w:r>
      <w:r w:rsidR="00CF07B3">
        <w:rPr>
          <w:rFonts w:ascii="Times New Roman" w:hAnsi="Times New Roman" w:cs="Times New Roman"/>
          <w:b w:val="0"/>
          <w:bCs w:val="0"/>
          <w:iCs w:val="0"/>
          <w:color w:val="auto"/>
          <w:sz w:val="24"/>
          <w:szCs w:val="24"/>
        </w:rPr>
        <w:t>”</w:t>
      </w:r>
      <w:r w:rsidRPr="00CF07B3">
        <w:rPr>
          <w:rFonts w:ascii="Times New Roman" w:hAnsi="Times New Roman" w:cs="Times New Roman"/>
          <w:b w:val="0"/>
          <w:bCs w:val="0"/>
          <w:iCs w:val="0"/>
          <w:color w:val="auto"/>
          <w:sz w:val="24"/>
          <w:szCs w:val="24"/>
        </w:rPr>
        <w:t xml:space="preserve"> Facilities will “receive” their assigned patients using eFINDS within 24 hours.</w:t>
      </w:r>
    </w:p>
    <w:p w:rsidR="005D19D2" w:rsidRDefault="005D19D2" w:rsidP="005D19D2">
      <w:pPr>
        <w:pStyle w:val="Heading1"/>
      </w:pPr>
      <w:bookmarkStart w:id="6" w:name="_Toc336596372"/>
      <w:r>
        <w:t>Exercise Schedule</w:t>
      </w:r>
      <w:bookmarkEnd w:id="6"/>
    </w:p>
    <w:tbl>
      <w:tblPr>
        <w:tblW w:w="56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6"/>
        <w:gridCol w:w="3578"/>
      </w:tblGrid>
      <w:tr w:rsidR="005D19D2" w:rsidRPr="00BA0E35" w:rsidTr="005D19D2">
        <w:trPr>
          <w:cantSplit/>
          <w:tblHeader/>
          <w:jc w:val="center"/>
        </w:trPr>
        <w:tc>
          <w:tcPr>
            <w:tcW w:w="2086" w:type="dxa"/>
            <w:tcBorders>
              <w:left w:val="single" w:sz="6" w:space="0" w:color="FFFFFF"/>
              <w:right w:val="single" w:sz="6" w:space="0" w:color="FFFFFF"/>
            </w:tcBorders>
            <w:shd w:val="clear" w:color="auto" w:fill="000080"/>
          </w:tcPr>
          <w:p w:rsidR="005D19D2" w:rsidRPr="00BA0E35" w:rsidRDefault="005D19D2" w:rsidP="005D19D2">
            <w:pPr>
              <w:pStyle w:val="Tabletext"/>
              <w:jc w:val="center"/>
              <w:rPr>
                <w:b/>
                <w:sz w:val="24"/>
              </w:rPr>
            </w:pPr>
            <w:r w:rsidRPr="00BA0E35">
              <w:rPr>
                <w:b/>
                <w:sz w:val="24"/>
              </w:rPr>
              <w:t>Quarter</w:t>
            </w:r>
          </w:p>
        </w:tc>
        <w:tc>
          <w:tcPr>
            <w:tcW w:w="3578" w:type="dxa"/>
            <w:tcBorders>
              <w:left w:val="single" w:sz="6" w:space="0" w:color="FFFFFF"/>
              <w:right w:val="single" w:sz="6" w:space="0" w:color="FFFFFF"/>
            </w:tcBorders>
            <w:shd w:val="clear" w:color="auto" w:fill="000080"/>
          </w:tcPr>
          <w:p w:rsidR="005D19D2" w:rsidRPr="00BA0E35" w:rsidRDefault="005D19D2" w:rsidP="005D19D2">
            <w:pPr>
              <w:pStyle w:val="Tabletext"/>
              <w:jc w:val="center"/>
              <w:rPr>
                <w:b/>
                <w:sz w:val="24"/>
              </w:rPr>
            </w:pPr>
            <w:r w:rsidRPr="00BA0E35">
              <w:rPr>
                <w:b/>
                <w:sz w:val="24"/>
              </w:rPr>
              <w:t>Initiating Facility</w:t>
            </w:r>
          </w:p>
        </w:tc>
      </w:tr>
      <w:tr w:rsidR="005D19D2" w:rsidRPr="00BA0E35" w:rsidTr="005D19D2">
        <w:trPr>
          <w:cantSplit/>
          <w:jc w:val="center"/>
        </w:trPr>
        <w:tc>
          <w:tcPr>
            <w:tcW w:w="2086" w:type="dxa"/>
          </w:tcPr>
          <w:p w:rsidR="005D19D2" w:rsidRPr="00BA0E35" w:rsidRDefault="005D19D2" w:rsidP="005D19D2">
            <w:pPr>
              <w:pStyle w:val="Tabletext"/>
              <w:rPr>
                <w:sz w:val="24"/>
              </w:rPr>
            </w:pPr>
            <w:r w:rsidRPr="00BA0E35">
              <w:rPr>
                <w:sz w:val="24"/>
              </w:rPr>
              <w:t>1</w:t>
            </w:r>
            <w:r w:rsidRPr="00BA0E35">
              <w:rPr>
                <w:sz w:val="24"/>
                <w:vertAlign w:val="superscript"/>
              </w:rPr>
              <w:t>st</w:t>
            </w:r>
            <w:r w:rsidRPr="00BA0E35">
              <w:rPr>
                <w:sz w:val="24"/>
              </w:rPr>
              <w:t xml:space="preserve"> Quarter GY</w:t>
            </w:r>
          </w:p>
        </w:tc>
        <w:tc>
          <w:tcPr>
            <w:tcW w:w="3578" w:type="dxa"/>
          </w:tcPr>
          <w:p w:rsidR="005D19D2" w:rsidRPr="00BA0E35" w:rsidRDefault="005D19D2" w:rsidP="005D19D2">
            <w:pPr>
              <w:pStyle w:val="Tabletext"/>
              <w:rPr>
                <w:sz w:val="24"/>
                <w:highlight w:val="lightGray"/>
              </w:rPr>
            </w:pPr>
            <w:r w:rsidRPr="00BA0E35">
              <w:rPr>
                <w:sz w:val="24"/>
                <w:highlight w:val="lightGray"/>
              </w:rPr>
              <w:t>Hospital [A]</w:t>
            </w:r>
          </w:p>
        </w:tc>
      </w:tr>
      <w:tr w:rsidR="005D19D2" w:rsidRPr="00BA0E35" w:rsidTr="005D19D2">
        <w:trPr>
          <w:cantSplit/>
          <w:jc w:val="center"/>
        </w:trPr>
        <w:tc>
          <w:tcPr>
            <w:tcW w:w="2086" w:type="dxa"/>
          </w:tcPr>
          <w:p w:rsidR="005D19D2" w:rsidRPr="00BA0E35" w:rsidRDefault="005D19D2" w:rsidP="005D19D2">
            <w:pPr>
              <w:pStyle w:val="Tabletext"/>
              <w:rPr>
                <w:sz w:val="24"/>
              </w:rPr>
            </w:pPr>
            <w:r w:rsidRPr="00BA0E35">
              <w:rPr>
                <w:sz w:val="24"/>
              </w:rPr>
              <w:t>2</w:t>
            </w:r>
            <w:r w:rsidRPr="00BA0E35">
              <w:rPr>
                <w:sz w:val="24"/>
                <w:vertAlign w:val="superscript"/>
              </w:rPr>
              <w:t>nd</w:t>
            </w:r>
            <w:r w:rsidRPr="00BA0E35">
              <w:rPr>
                <w:sz w:val="24"/>
              </w:rPr>
              <w:t xml:space="preserve"> Quarter GY</w:t>
            </w:r>
          </w:p>
        </w:tc>
        <w:tc>
          <w:tcPr>
            <w:tcW w:w="3578" w:type="dxa"/>
          </w:tcPr>
          <w:p w:rsidR="005D19D2" w:rsidRPr="00BA0E35" w:rsidRDefault="005D19D2" w:rsidP="005D19D2">
            <w:pPr>
              <w:pStyle w:val="Tabletext"/>
              <w:rPr>
                <w:sz w:val="24"/>
                <w:highlight w:val="lightGray"/>
              </w:rPr>
            </w:pPr>
            <w:r>
              <w:rPr>
                <w:sz w:val="24"/>
                <w:highlight w:val="lightGray"/>
              </w:rPr>
              <w:t>Hospital [B</w:t>
            </w:r>
            <w:r w:rsidRPr="00BA0E35">
              <w:rPr>
                <w:sz w:val="24"/>
                <w:highlight w:val="lightGray"/>
              </w:rPr>
              <w:t>]</w:t>
            </w:r>
          </w:p>
        </w:tc>
      </w:tr>
      <w:tr w:rsidR="005D19D2" w:rsidRPr="00BA0E35" w:rsidTr="005D19D2">
        <w:trPr>
          <w:cantSplit/>
          <w:jc w:val="center"/>
        </w:trPr>
        <w:tc>
          <w:tcPr>
            <w:tcW w:w="2086" w:type="dxa"/>
          </w:tcPr>
          <w:p w:rsidR="005D19D2" w:rsidRPr="00BA0E35" w:rsidRDefault="005D19D2" w:rsidP="005D19D2">
            <w:pPr>
              <w:pStyle w:val="Tabletext"/>
              <w:rPr>
                <w:sz w:val="24"/>
              </w:rPr>
            </w:pPr>
            <w:r w:rsidRPr="00BA0E35">
              <w:rPr>
                <w:sz w:val="24"/>
              </w:rPr>
              <w:t>3</w:t>
            </w:r>
            <w:r w:rsidRPr="00BA0E35">
              <w:rPr>
                <w:sz w:val="24"/>
                <w:vertAlign w:val="superscript"/>
              </w:rPr>
              <w:t>rd</w:t>
            </w:r>
            <w:r w:rsidRPr="00BA0E35">
              <w:rPr>
                <w:sz w:val="24"/>
              </w:rPr>
              <w:t xml:space="preserve"> Quarter GY</w:t>
            </w:r>
          </w:p>
        </w:tc>
        <w:tc>
          <w:tcPr>
            <w:tcW w:w="3578" w:type="dxa"/>
          </w:tcPr>
          <w:p w:rsidR="005D19D2" w:rsidRPr="00BA0E35" w:rsidRDefault="005D19D2" w:rsidP="005D19D2">
            <w:pPr>
              <w:pStyle w:val="Tabletext"/>
              <w:rPr>
                <w:sz w:val="24"/>
                <w:highlight w:val="lightGray"/>
              </w:rPr>
            </w:pPr>
            <w:r>
              <w:rPr>
                <w:sz w:val="24"/>
                <w:highlight w:val="lightGray"/>
              </w:rPr>
              <w:t>Hospital [C</w:t>
            </w:r>
            <w:r w:rsidRPr="00BA0E35">
              <w:rPr>
                <w:sz w:val="24"/>
                <w:highlight w:val="lightGray"/>
              </w:rPr>
              <w:t>]</w:t>
            </w:r>
          </w:p>
        </w:tc>
      </w:tr>
      <w:tr w:rsidR="005D19D2" w:rsidRPr="00BA0E35" w:rsidTr="005D19D2">
        <w:trPr>
          <w:cantSplit/>
          <w:jc w:val="center"/>
        </w:trPr>
        <w:tc>
          <w:tcPr>
            <w:tcW w:w="2086" w:type="dxa"/>
          </w:tcPr>
          <w:p w:rsidR="005D19D2" w:rsidRPr="00BA0E35" w:rsidRDefault="005D19D2" w:rsidP="005D19D2">
            <w:pPr>
              <w:pStyle w:val="Tabletext"/>
              <w:rPr>
                <w:sz w:val="24"/>
              </w:rPr>
            </w:pPr>
            <w:r w:rsidRPr="00BA0E35">
              <w:rPr>
                <w:sz w:val="24"/>
              </w:rPr>
              <w:t>4</w:t>
            </w:r>
            <w:r w:rsidRPr="00BA0E35">
              <w:rPr>
                <w:sz w:val="24"/>
                <w:vertAlign w:val="superscript"/>
              </w:rPr>
              <w:t>th</w:t>
            </w:r>
            <w:r w:rsidRPr="00BA0E35">
              <w:rPr>
                <w:sz w:val="24"/>
              </w:rPr>
              <w:t xml:space="preserve"> Quarter GY</w:t>
            </w:r>
          </w:p>
        </w:tc>
        <w:tc>
          <w:tcPr>
            <w:tcW w:w="3578" w:type="dxa"/>
          </w:tcPr>
          <w:p w:rsidR="005D19D2" w:rsidRPr="00BA0E35" w:rsidRDefault="005D19D2" w:rsidP="005D19D2">
            <w:pPr>
              <w:pStyle w:val="Tabletext"/>
              <w:rPr>
                <w:sz w:val="24"/>
                <w:highlight w:val="lightGray"/>
              </w:rPr>
            </w:pPr>
            <w:r>
              <w:rPr>
                <w:sz w:val="24"/>
                <w:highlight w:val="lightGray"/>
              </w:rPr>
              <w:t>Hospital [D</w:t>
            </w:r>
            <w:r w:rsidRPr="00BA0E35">
              <w:rPr>
                <w:sz w:val="24"/>
                <w:highlight w:val="lightGray"/>
              </w:rPr>
              <w:t>]</w:t>
            </w:r>
          </w:p>
        </w:tc>
      </w:tr>
    </w:tbl>
    <w:p w:rsidR="005D19D2" w:rsidRPr="005D19D2" w:rsidRDefault="005D19D2" w:rsidP="005D19D2"/>
    <w:p w:rsidR="00A43A33" w:rsidRDefault="00AF368F">
      <w:pPr>
        <w:pStyle w:val="Heading2"/>
        <w:rPr>
          <w:kern w:val="32"/>
        </w:rPr>
      </w:pPr>
      <w:r w:rsidRPr="00F559A9">
        <w:rPr>
          <w:kern w:val="32"/>
        </w:rPr>
        <w:t>E</w:t>
      </w:r>
      <w:r w:rsidR="00701D12" w:rsidRPr="00F559A9">
        <w:rPr>
          <w:kern w:val="32"/>
        </w:rPr>
        <w:t>xercise Objectives</w:t>
      </w:r>
      <w:bookmarkEnd w:id="1"/>
      <w:bookmarkEnd w:id="2"/>
      <w:r w:rsidR="00B95D87" w:rsidRPr="00F559A9">
        <w:rPr>
          <w:kern w:val="32"/>
        </w:rPr>
        <w:t xml:space="preserve"> and Core Capabilities</w:t>
      </w:r>
      <w:bookmarkEnd w:id="3"/>
    </w:p>
    <w:p w:rsidR="00624786" w:rsidRPr="000A6B8D" w:rsidRDefault="000A6B8D" w:rsidP="000A6B8D">
      <w:pPr>
        <w:pStyle w:val="BodyText"/>
      </w:pPr>
      <w:r>
        <w:t>The following e</w:t>
      </w:r>
      <w:r w:rsidRPr="0088027D">
        <w:t>xercise objectives</w:t>
      </w:r>
      <w:r w:rsidR="00033916">
        <w:t xml:space="preserve"> in Table 1</w:t>
      </w:r>
      <w:r w:rsidRPr="0088027D">
        <w:t xml:space="preserve">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rsidR="002F28FA">
        <w:t>)</w:t>
      </w:r>
      <w:r>
        <w:t xml:space="preserve">.  The objectives and aligned core capabilities </w:t>
      </w:r>
      <w:r w:rsidR="004A7377">
        <w:t>are</w:t>
      </w:r>
      <w:r>
        <w:t xml:space="preserve"> guided by </w:t>
      </w:r>
      <w:r w:rsidR="00624786">
        <w:t xml:space="preserve">elected </w:t>
      </w:r>
      <w:r w:rsidR="00F701F5">
        <w:t xml:space="preserve">and appointed </w:t>
      </w:r>
      <w:r>
        <w:t>officials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694"/>
      </w:tblGrid>
      <w:tr w:rsidR="00D6702B" w:rsidRPr="00037264" w:rsidTr="00D6702B">
        <w:trPr>
          <w:tblHeader/>
          <w:jc w:val="center"/>
        </w:trPr>
        <w:tc>
          <w:tcPr>
            <w:tcW w:w="4693" w:type="dxa"/>
            <w:tcBorders>
              <w:right w:val="single" w:sz="4" w:space="0" w:color="FFFFFF"/>
            </w:tcBorders>
            <w:shd w:val="clear" w:color="auto" w:fill="000080"/>
          </w:tcPr>
          <w:p w:rsidR="00D6702B" w:rsidRPr="00037264" w:rsidRDefault="00D6702B" w:rsidP="00D6702B">
            <w:pPr>
              <w:pStyle w:val="TableHead"/>
            </w:pPr>
            <w:r>
              <w:t>Exercise Objective</w:t>
            </w:r>
          </w:p>
        </w:tc>
        <w:tc>
          <w:tcPr>
            <w:tcW w:w="4694" w:type="dxa"/>
            <w:tcBorders>
              <w:left w:val="single" w:sz="4" w:space="0" w:color="FFFFFF"/>
            </w:tcBorders>
            <w:shd w:val="clear" w:color="auto" w:fill="000080"/>
          </w:tcPr>
          <w:p w:rsidR="00D6702B" w:rsidRPr="00037264" w:rsidRDefault="00D6702B" w:rsidP="00D6702B">
            <w:pPr>
              <w:pStyle w:val="TableHead"/>
            </w:pPr>
            <w:r>
              <w:t>Core Capability</w:t>
            </w:r>
          </w:p>
        </w:tc>
      </w:tr>
      <w:tr w:rsidR="00D6702B" w:rsidRPr="00037264" w:rsidTr="00D6702B">
        <w:trPr>
          <w:jc w:val="center"/>
        </w:trPr>
        <w:tc>
          <w:tcPr>
            <w:tcW w:w="4693" w:type="dxa"/>
          </w:tcPr>
          <w:p w:rsidR="00D6702B" w:rsidRPr="00037264" w:rsidRDefault="009A3764" w:rsidP="00D6702B">
            <w:pPr>
              <w:pStyle w:val="Tabletext"/>
            </w:pPr>
            <w:r w:rsidRPr="009A3764">
              <w:t>Assess the Hospital’s capability to plan for and coordinate health care evacuation and relocation using the NYS DOH Evacuation of Facilities In Disaster System (eFINDS).</w:t>
            </w:r>
          </w:p>
        </w:tc>
        <w:tc>
          <w:tcPr>
            <w:tcW w:w="4694" w:type="dxa"/>
          </w:tcPr>
          <w:p w:rsidR="00D6702B" w:rsidRPr="00037264" w:rsidRDefault="009A3764" w:rsidP="00D6702B">
            <w:pPr>
              <w:pStyle w:val="Tabletext"/>
              <w:jc w:val="center"/>
            </w:pPr>
            <w:r w:rsidRPr="009A3764">
              <w:t>Continuity of Health Care Service Delivery</w:t>
            </w:r>
          </w:p>
        </w:tc>
      </w:tr>
    </w:tbl>
    <w:p w:rsidR="00BD0631" w:rsidRDefault="00BD0631" w:rsidP="00BD0631">
      <w:pPr>
        <w:pStyle w:val="HSEEPFigureTitle"/>
      </w:pPr>
      <w:bookmarkStart w:id="7" w:name="_Toc336426628"/>
      <w:bookmarkStart w:id="8" w:name="_Toc336199560"/>
      <w:bookmarkStart w:id="9" w:name="_Toc336596351"/>
      <w:r>
        <w:t xml:space="preserve">Table 1. </w:t>
      </w:r>
      <w:r w:rsidRPr="002C3CBD">
        <w:t xml:space="preserve">Exercise </w:t>
      </w:r>
      <w:r>
        <w:t xml:space="preserve">Objectives and </w:t>
      </w:r>
      <w:r w:rsidR="00B958C2">
        <w:t>Associated</w:t>
      </w:r>
      <w:r>
        <w:t xml:space="preserve"> Core Capabilities</w:t>
      </w:r>
    </w:p>
    <w:p w:rsidR="00657735" w:rsidRDefault="00657735" w:rsidP="00657735">
      <w:pPr>
        <w:pStyle w:val="Heading2"/>
      </w:pPr>
      <w:r>
        <w:t>Participant</w:t>
      </w:r>
      <w:bookmarkEnd w:id="7"/>
      <w:r>
        <w:t xml:space="preserve"> Roles and Responsibilities</w:t>
      </w:r>
    </w:p>
    <w:p w:rsidR="00657735" w:rsidRDefault="00657735" w:rsidP="00657735">
      <w:pPr>
        <w:pStyle w:val="BodyText"/>
      </w:pPr>
      <w:r>
        <w:t xml:space="preserve">The term </w:t>
      </w:r>
      <w:r w:rsidRPr="00A2089D">
        <w:rPr>
          <w:i/>
        </w:rPr>
        <w:t>participant</w:t>
      </w:r>
      <w:r>
        <w:t xml:space="preserve"> encompasses many groups of people, not just those playing in the exercise. </w:t>
      </w:r>
      <w:r w:rsidR="003369C3">
        <w:t xml:space="preserve"> </w:t>
      </w:r>
      <w:r>
        <w:t>Groups of participants involved in the exercise, and their respective roles and responsibilities, are as follows:</w:t>
      </w:r>
    </w:p>
    <w:p w:rsidR="00657735" w:rsidRDefault="00657735" w:rsidP="00657735">
      <w:pPr>
        <w:pStyle w:val="ListBullet"/>
      </w:pPr>
      <w:r w:rsidRPr="00A2089D">
        <w:rPr>
          <w:b/>
        </w:rPr>
        <w:t>Players.</w:t>
      </w:r>
      <w:r w:rsidRPr="00F701F5">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rsidR="00657735" w:rsidRDefault="00657735" w:rsidP="00657735">
      <w:pPr>
        <w:pStyle w:val="ListBullet"/>
      </w:pPr>
      <w:r w:rsidRPr="00A2089D">
        <w:rPr>
          <w:b/>
        </w:rPr>
        <w:t>Controllers.</w:t>
      </w:r>
      <w:r w:rsidRPr="00F701F5">
        <w:t xml:space="preserve">  </w:t>
      </w:r>
      <w:r w:rsidR="00C443EA">
        <w:t xml:space="preserve">Each facility is responsible to provide a </w:t>
      </w:r>
      <w:r>
        <w:t>Controller</w:t>
      </w:r>
      <w:r w:rsidR="00C443EA">
        <w:t xml:space="preserve"> for their site to </w:t>
      </w:r>
      <w:r>
        <w:t xml:space="preserve">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rsidR="00657735" w:rsidRDefault="00657735" w:rsidP="00657735">
      <w:pPr>
        <w:pStyle w:val="ListBullet"/>
      </w:pPr>
      <w:r w:rsidRPr="00A2089D">
        <w:rPr>
          <w:b/>
        </w:rPr>
        <w:t>Evaluators.</w:t>
      </w:r>
      <w:r w:rsidRPr="00F701F5">
        <w:t xml:space="preserve">  </w:t>
      </w:r>
      <w:r w:rsidR="00C443EA">
        <w:t xml:space="preserve">Facilities will provide a site </w:t>
      </w:r>
      <w:r>
        <w:t xml:space="preserve">Evaluators </w:t>
      </w:r>
      <w:r w:rsidR="00C443EA">
        <w:t>to</w:t>
      </w:r>
      <w:r>
        <w:t xml:space="preserve"> </w:t>
      </w:r>
      <w:r w:rsidR="00A4611C">
        <w:t xml:space="preserve">observe </w:t>
      </w:r>
      <w:r>
        <w:t>and document performance against established capability targets and critical tasks, in accordance with the Exercise Evaluation Guides (EEGs).</w:t>
      </w:r>
      <w:r w:rsidR="00C443EA">
        <w:t xml:space="preserve">  Due to the scope of the drill, combining the role of Controller and </w:t>
      </w:r>
      <w:r w:rsidR="00042356">
        <w:t>Evaluator</w:t>
      </w:r>
      <w:r w:rsidR="00C443EA">
        <w:t xml:space="preserve"> is permitted.</w:t>
      </w:r>
    </w:p>
    <w:p w:rsidR="00115EAB" w:rsidRPr="0088027D" w:rsidRDefault="00B84C72" w:rsidP="0088027D">
      <w:pPr>
        <w:pStyle w:val="Heading2"/>
      </w:pPr>
      <w:r w:rsidRPr="00B84C72">
        <w:t xml:space="preserve">Exercise </w:t>
      </w:r>
      <w:bookmarkEnd w:id="8"/>
      <w:r w:rsidRPr="00B84C72">
        <w:t>Assumptions and Artificialities</w:t>
      </w:r>
      <w:bookmarkEnd w:id="9"/>
    </w:p>
    <w:p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rsidR="00B958C2" w:rsidRPr="0088027D" w:rsidRDefault="00B958C2" w:rsidP="00B958C2">
      <w:pPr>
        <w:pStyle w:val="Heading3"/>
      </w:pPr>
      <w:bookmarkStart w:id="10" w:name="_Toc336200399"/>
      <w:bookmarkStart w:id="11" w:name="_Toc336596352"/>
      <w:r w:rsidRPr="0088027D">
        <w:t>Assumptions</w:t>
      </w:r>
    </w:p>
    <w:p w:rsidR="00B958C2" w:rsidRDefault="00B958C2" w:rsidP="00B958C2">
      <w:pPr>
        <w:pStyle w:val="BodyText"/>
      </w:pPr>
      <w:r>
        <w:t>Assumptions constitute the implied factual foundation for the exercise and, as such, are assumed to be present before the exercise starts.  The following assumptions apply to the exercise:</w:t>
      </w:r>
    </w:p>
    <w:p w:rsidR="00B958C2" w:rsidRPr="004C166F" w:rsidRDefault="00B958C2" w:rsidP="00B958C2">
      <w:pPr>
        <w:pStyle w:val="ListBullet"/>
      </w:pPr>
      <w:r w:rsidRPr="004C166F">
        <w:t>The exercise is conducted in a no-fault learning environment wherein capabilities, plans, systems, a</w:t>
      </w:r>
      <w:r w:rsidR="004C166F">
        <w:t>nd processes will be evaluated.</w:t>
      </w:r>
    </w:p>
    <w:p w:rsidR="00B958C2" w:rsidRPr="004C166F" w:rsidRDefault="00B958C2" w:rsidP="00B958C2">
      <w:pPr>
        <w:pStyle w:val="ListBullet"/>
      </w:pPr>
      <w:r w:rsidRPr="004C166F">
        <w:t>Exercise simulation contains sufficient detail to allow players to react to information and situations as they are presented as if th</w:t>
      </w:r>
      <w:r w:rsidR="004C166F">
        <w:t>e simulated incident were real.</w:t>
      </w:r>
    </w:p>
    <w:p w:rsidR="00B958C2" w:rsidRPr="004C166F" w:rsidRDefault="00B958C2" w:rsidP="00B958C2">
      <w:pPr>
        <w:pStyle w:val="ListBullet"/>
      </w:pPr>
      <w:r w:rsidRPr="004C166F">
        <w:t>Participating agencies may need to balance exercise play with real-world emergencies.  Real-w</w:t>
      </w:r>
      <w:r w:rsidR="004C166F">
        <w:t>orld emergencies take priority.</w:t>
      </w:r>
    </w:p>
    <w:p w:rsidR="00B958C2" w:rsidRDefault="00B958C2" w:rsidP="00B958C2">
      <w:pPr>
        <w:pStyle w:val="Heading3"/>
      </w:pPr>
      <w:r>
        <w:t>Artificialities</w:t>
      </w:r>
    </w:p>
    <w:p w:rsidR="00B958C2" w:rsidRDefault="00B958C2" w:rsidP="00B958C2">
      <w:pPr>
        <w:pStyle w:val="BodyText"/>
      </w:pPr>
      <w:r>
        <w:t>During this exercise, the following artificialities apply:</w:t>
      </w:r>
    </w:p>
    <w:p w:rsidR="00B958C2" w:rsidRPr="004C166F" w:rsidRDefault="004C166F" w:rsidP="00B958C2">
      <w:pPr>
        <w:pStyle w:val="ListBullet"/>
      </w:pPr>
      <w:r w:rsidRPr="004C166F">
        <w:t>The scenario requiring the simulation evacuation of patients is a generic emergency incident</w:t>
      </w:r>
      <w:r w:rsidR="00B958C2" w:rsidRPr="004C166F">
        <w:t>.</w:t>
      </w:r>
    </w:p>
    <w:p w:rsidR="00B958C2" w:rsidRDefault="004C166F" w:rsidP="00B958C2">
      <w:pPr>
        <w:pStyle w:val="ListBullet"/>
      </w:pPr>
      <w:r>
        <w:t xml:space="preserve">Hospitals may choose to limit activation to those serving as eFINDS Administrators and Data Recorders. </w:t>
      </w:r>
    </w:p>
    <w:p w:rsidR="00C443EA" w:rsidRDefault="00042356" w:rsidP="00042356">
      <w:pPr>
        <w:pStyle w:val="Heading1"/>
      </w:pPr>
      <w:r>
        <w:t>Exercise Logistics</w:t>
      </w:r>
    </w:p>
    <w:p w:rsidR="00CF6EFC" w:rsidRDefault="00C443EA" w:rsidP="00204EAB">
      <w:pPr>
        <w:pStyle w:val="Heading2"/>
      </w:pPr>
      <w:bookmarkStart w:id="12" w:name="_Toc336596354"/>
      <w:bookmarkEnd w:id="10"/>
      <w:bookmarkEnd w:id="11"/>
      <w:r>
        <w:t>Sa</w:t>
      </w:r>
      <w:r w:rsidR="00E47025">
        <w:t>fety</w:t>
      </w:r>
      <w:r w:rsidR="00CF65A7">
        <w:t xml:space="preserve"> </w:t>
      </w:r>
      <w:bookmarkEnd w:id="12"/>
    </w:p>
    <w:p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rsidR="00CF6EFC" w:rsidRDefault="001C6DB2" w:rsidP="006E6BD6">
      <w:pPr>
        <w:pStyle w:val="ListBullet"/>
      </w:pPr>
      <w:r>
        <w:t>The drill consists primarily of administrative tasks in a controlled environment</w:t>
      </w:r>
      <w:r w:rsidR="006E6BD6">
        <w:t xml:space="preserve">.  </w:t>
      </w:r>
    </w:p>
    <w:p w:rsidR="002A0096" w:rsidRPr="00042356" w:rsidRDefault="002A0096" w:rsidP="006E6BD6">
      <w:pPr>
        <w:pStyle w:val="ListBullet"/>
      </w:pPr>
      <w:r>
        <w:t xml:space="preserve">For an emergency that requires assistance, use the phrase </w:t>
      </w:r>
      <w:r w:rsidRPr="00901331">
        <w:rPr>
          <w:b/>
        </w:rPr>
        <w:t>“real-world emergency.”</w:t>
      </w:r>
      <w:r w:rsidR="00901331">
        <w:rPr>
          <w:b/>
        </w:rPr>
        <w:t xml:space="preserve"> </w:t>
      </w:r>
    </w:p>
    <w:p w:rsidR="00042356" w:rsidRDefault="00042356" w:rsidP="00042356">
      <w:pPr>
        <w:pStyle w:val="ListBullet"/>
        <w:numPr>
          <w:ilvl w:val="0"/>
          <w:numId w:val="0"/>
        </w:numPr>
        <w:ind w:left="360"/>
      </w:pPr>
    </w:p>
    <w:p w:rsidR="002B2631" w:rsidRDefault="00CF65A7" w:rsidP="00CF6EFC">
      <w:pPr>
        <w:pStyle w:val="Heading1"/>
      </w:pPr>
      <w:bookmarkStart w:id="13" w:name="_Toc336596360"/>
      <w:r>
        <w:t>Post-exercise and Evaluation Activities</w:t>
      </w:r>
      <w:bookmarkEnd w:id="13"/>
    </w:p>
    <w:p w:rsidR="00CF65A7" w:rsidRDefault="00CF65A7" w:rsidP="00CF65A7">
      <w:pPr>
        <w:pStyle w:val="Heading2"/>
      </w:pPr>
      <w:bookmarkStart w:id="14" w:name="_Toc336596361"/>
      <w:r>
        <w:t>Debriefings</w:t>
      </w:r>
      <w:bookmarkEnd w:id="14"/>
    </w:p>
    <w:p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rsidR="002B2631" w:rsidRDefault="002B2631" w:rsidP="002B2631">
      <w:pPr>
        <w:pStyle w:val="Heading3"/>
      </w:pPr>
      <w:r>
        <w:t>Hot Wash</w:t>
      </w:r>
    </w:p>
    <w:p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  </w:t>
      </w:r>
    </w:p>
    <w:p w:rsidR="001C6DB2" w:rsidRDefault="001C6DB2" w:rsidP="001C6DB2">
      <w:pPr>
        <w:pStyle w:val="Heading3"/>
      </w:pPr>
      <w:r>
        <w:t>Quarterly Review</w:t>
      </w:r>
    </w:p>
    <w:p w:rsidR="001C6DB2" w:rsidRDefault="001C6DB2" w:rsidP="002B2631">
      <w:pPr>
        <w:pStyle w:val="BodyText"/>
      </w:pPr>
      <w:r>
        <w:t>During the subsequent Quarterly Sub-Regional meeting the participating facilities will discuss lessons learned from the drill.  The group will adjust the drill and/or the schedule to improve the exercise prior to the next iteration.</w:t>
      </w:r>
    </w:p>
    <w:p w:rsidR="00CF65A7" w:rsidRDefault="00CF65A7" w:rsidP="00CF65A7">
      <w:pPr>
        <w:pStyle w:val="Heading2"/>
      </w:pPr>
      <w:bookmarkStart w:id="15" w:name="_Toc336596362"/>
      <w:r>
        <w:t>Evaluation</w:t>
      </w:r>
      <w:bookmarkEnd w:id="15"/>
    </w:p>
    <w:p w:rsidR="002B2631" w:rsidRDefault="002B2631" w:rsidP="002B2631">
      <w:pPr>
        <w:pStyle w:val="Heading3"/>
      </w:pPr>
      <w:r>
        <w:t>Exercise Evaluation Guides</w:t>
      </w:r>
    </w:p>
    <w:p w:rsidR="002B2631" w:rsidRPr="005C7E72" w:rsidRDefault="00452717" w:rsidP="002B2631">
      <w:pPr>
        <w:pStyle w:val="BodyText"/>
        <w:rPr>
          <w:rFonts w:ascii="Joanna MT" w:hAnsi="Joanna MT"/>
        </w:rPr>
      </w:pPr>
      <w:r>
        <w:t>EEGs</w:t>
      </w:r>
      <w:r w:rsidR="004C166F">
        <w:t xml:space="preserve"> have been prepared for the drills to</w:t>
      </w:r>
      <w:r>
        <w:t xml:space="preserve"> assist evaluators in collecting relevant exercise observations.  </w:t>
      </w:r>
      <w:r w:rsidR="004C166F">
        <w:t xml:space="preserve">The EEGs include both “send” and “receiving” Capability Targets and Critical Tasks. Evaluators may limit their observations according to the role their facility is filling during the drill.  </w:t>
      </w:r>
    </w:p>
    <w:p w:rsidR="002B2631" w:rsidRDefault="002B2631" w:rsidP="002B2631">
      <w:pPr>
        <w:pStyle w:val="Heading3"/>
      </w:pPr>
      <w:r>
        <w:t>After</w:t>
      </w:r>
      <w:r w:rsidR="00D80481">
        <w:t>-</w:t>
      </w:r>
      <w:r>
        <w:t xml:space="preserve">Action </w:t>
      </w:r>
      <w:r w:rsidR="00D80481">
        <w:t>Report</w:t>
      </w:r>
    </w:p>
    <w:p w:rsidR="002B2631" w:rsidRDefault="00B84C72" w:rsidP="002B2631">
      <w:pPr>
        <w:pStyle w:val="BodyText"/>
      </w:pPr>
      <w:r w:rsidRPr="00B84C72">
        <w:t xml:space="preserve">The </w:t>
      </w:r>
      <w:r w:rsidR="003369C3">
        <w:t>AAR</w:t>
      </w:r>
      <w:r w:rsidRPr="00B84C72">
        <w:t xml:space="preserve">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C443EA">
        <w:rPr>
          <w:szCs w:val="22"/>
        </w:rPr>
        <w:t>Each Sub-Region committee will prepare an annual report that captures the lessons learned throughout the series of quarterly drills for the year</w:t>
      </w:r>
      <w:r w:rsidR="002B2631">
        <w:t xml:space="preserve">.  </w:t>
      </w:r>
    </w:p>
    <w:p w:rsidR="00CF65A7" w:rsidRDefault="00CF65A7" w:rsidP="00CF65A7">
      <w:pPr>
        <w:pStyle w:val="Heading3"/>
      </w:pPr>
      <w:r>
        <w:t>Improvement Plan</w:t>
      </w:r>
    </w:p>
    <w:p w:rsidR="00CF65A7" w:rsidRDefault="00CF65A7" w:rsidP="00CF65A7">
      <w:pPr>
        <w:pStyle w:val="BodyText"/>
      </w:pPr>
      <w:r w:rsidRPr="001B24B7">
        <w:t xml:space="preserve">The </w:t>
      </w:r>
      <w:r w:rsidR="00C443EA">
        <w:t>Sub-Region will</w:t>
      </w:r>
      <w:r w:rsidRPr="001B24B7">
        <w:t xml:space="preserve"> identif</w:t>
      </w:r>
      <w:r w:rsidR="00C443EA">
        <w:t>y</w:t>
      </w:r>
      <w:r w:rsidRPr="001B24B7">
        <w:t xml:space="preserve"> specific corrective actions, assign them to responsible parties, and establishes target dates for their completion</w:t>
      </w:r>
      <w:r w:rsidR="00C443EA">
        <w:t>.</w:t>
      </w:r>
    </w:p>
    <w:p w:rsidR="005D19D2" w:rsidRDefault="005D19D2" w:rsidP="005D19D2">
      <w:pPr>
        <w:pStyle w:val="Heading1"/>
      </w:pPr>
      <w:r>
        <w:t>Participant Information and Guidance</w:t>
      </w:r>
    </w:p>
    <w:p w:rsidR="0089158E" w:rsidRDefault="0089158E" w:rsidP="0089158E">
      <w:pPr>
        <w:pStyle w:val="Heading2"/>
      </w:pPr>
      <w:bookmarkStart w:id="16" w:name="_Toc336426672"/>
      <w:bookmarkStart w:id="17" w:name="_Toc336596364"/>
      <w:r>
        <w:t>Exercise Rules</w:t>
      </w:r>
    </w:p>
    <w:p w:rsidR="0089158E" w:rsidRDefault="0089158E" w:rsidP="0089158E">
      <w:pPr>
        <w:pStyle w:val="BodyText"/>
      </w:pPr>
      <w:r>
        <w:t>The following general rules govern exercise play:</w:t>
      </w:r>
    </w:p>
    <w:p w:rsidR="0089158E" w:rsidRDefault="0089158E" w:rsidP="0089158E">
      <w:pPr>
        <w:pStyle w:val="ListBullet"/>
      </w:pPr>
      <w:r>
        <w:t>Real-world emergency actions take priority over exercise actions.</w:t>
      </w:r>
    </w:p>
    <w:p w:rsidR="0089158E" w:rsidRDefault="0089158E" w:rsidP="0089158E">
      <w:pPr>
        <w:pStyle w:val="ListBullet"/>
      </w:pPr>
      <w:r>
        <w:t>Exercise players will comply with real-world emergency procedures, unless otherwise directed by the control staff.</w:t>
      </w:r>
    </w:p>
    <w:p w:rsidR="0089158E" w:rsidRPr="00473C24" w:rsidRDefault="0089158E" w:rsidP="0089158E">
      <w:pPr>
        <w:pStyle w:val="ListBullet"/>
        <w:rPr>
          <w:b/>
        </w:rPr>
      </w:pPr>
      <w:r>
        <w:t xml:space="preserve">All communications (including written, radio, telephone, and e-mail) during the exercise will begin and end with the </w:t>
      </w:r>
      <w:r w:rsidRPr="00042356">
        <w:t xml:space="preserve">statement </w:t>
      </w:r>
      <w:r w:rsidRPr="00042356">
        <w:rPr>
          <w:b/>
        </w:rPr>
        <w:t>“This is an exercise.”</w:t>
      </w:r>
    </w:p>
    <w:p w:rsidR="0089158E" w:rsidRDefault="0089158E" w:rsidP="0089158E">
      <w:pPr>
        <w:pStyle w:val="Heading2"/>
      </w:pPr>
      <w:r>
        <w:t>Players</w:t>
      </w:r>
      <w:bookmarkEnd w:id="16"/>
      <w:r>
        <w:t xml:space="preserve"> Instructions</w:t>
      </w:r>
    </w:p>
    <w:p w:rsidR="0089158E" w:rsidRPr="006E469B" w:rsidRDefault="0089158E" w:rsidP="0089158E">
      <w:r>
        <w:t>Players should follow certain guidelines before, during, and after the exercise to ensure a safe and effective exercise.</w:t>
      </w:r>
    </w:p>
    <w:p w:rsidR="0089158E" w:rsidRDefault="0089158E" w:rsidP="0089158E">
      <w:pPr>
        <w:pStyle w:val="Heading3"/>
      </w:pPr>
      <w:r>
        <w:t>Before the Exercise</w:t>
      </w:r>
    </w:p>
    <w:p w:rsidR="0089158E" w:rsidRDefault="0089158E" w:rsidP="0089158E">
      <w:pPr>
        <w:pStyle w:val="ListBullet"/>
      </w:pPr>
      <w:r>
        <w:t>Review appropriate organizational plans, procedures, and exercise support documents.</w:t>
      </w:r>
    </w:p>
    <w:p w:rsidR="0089158E" w:rsidRDefault="0089158E" w:rsidP="0089158E">
      <w:pPr>
        <w:pStyle w:val="ListBullet"/>
      </w:pPr>
      <w:r>
        <w:t>Sign in when you arrive.</w:t>
      </w:r>
    </w:p>
    <w:p w:rsidR="0089158E" w:rsidRDefault="0089158E" w:rsidP="0089158E">
      <w:pPr>
        <w:pStyle w:val="Heading3"/>
      </w:pPr>
      <w:r>
        <w:t>During the Exercise</w:t>
      </w:r>
    </w:p>
    <w:p w:rsidR="0089158E" w:rsidRDefault="0089158E" w:rsidP="0089158E">
      <w:pPr>
        <w:pStyle w:val="ListBullet"/>
      </w:pPr>
      <w:r>
        <w:t>Respond to exercise events and information as if the emergency were real, unless otherwise directed by an exercise controller.</w:t>
      </w:r>
    </w:p>
    <w:p w:rsidR="0089158E" w:rsidRDefault="0089158E" w:rsidP="0089158E">
      <w:pPr>
        <w:pStyle w:val="ListBullet"/>
      </w:pPr>
      <w:r>
        <w:t>If you do not understand the scope of the exercise, or if you are uncertain about an organization’s participation in an exercise, ask a controller.</w:t>
      </w:r>
    </w:p>
    <w:p w:rsidR="0089158E" w:rsidRDefault="0089158E" w:rsidP="0089158E">
      <w:pPr>
        <w:pStyle w:val="ListBullet"/>
      </w:pPr>
      <w:r>
        <w:t>Speak when you take an action.  This procedure will ensure that evaluators are aware of critical actions as they occur.</w:t>
      </w:r>
    </w:p>
    <w:p w:rsidR="0089158E" w:rsidRDefault="0089158E" w:rsidP="0089158E">
      <w:pPr>
        <w:pStyle w:val="Heading3"/>
      </w:pPr>
      <w:r>
        <w:t>After the Exercise</w:t>
      </w:r>
    </w:p>
    <w:p w:rsidR="0089158E" w:rsidRDefault="0089158E" w:rsidP="0089158E">
      <w:pPr>
        <w:pStyle w:val="ListBullet"/>
      </w:pPr>
      <w:r>
        <w:t>Participate in the Hot Wash at your venue with controllers and evaluators.</w:t>
      </w:r>
    </w:p>
    <w:p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rsidR="008D6580" w:rsidRDefault="0089158E" w:rsidP="008D6580">
      <w:pPr>
        <w:pStyle w:val="ListBulletLast"/>
      </w:pPr>
      <w:r>
        <w:t>Provide any notes or materials generated from the exercise to your controller or evaluator for review and inclusion in the AAR.</w:t>
      </w:r>
      <w:bookmarkEnd w:id="17"/>
    </w:p>
    <w:p w:rsidR="008D6580" w:rsidRDefault="008D6580" w:rsidP="008D6580">
      <w:pPr>
        <w:pStyle w:val="BodyText"/>
      </w:pPr>
    </w:p>
    <w:p w:rsidR="008D6580" w:rsidRDefault="008D6580" w:rsidP="008D6580">
      <w:pPr>
        <w:pStyle w:val="Heading1"/>
        <w:sectPr w:rsidR="008D6580" w:rsidSect="00052F78">
          <w:footerReference w:type="default" r:id="rId12"/>
          <w:pgSz w:w="12240" w:h="15840" w:code="1"/>
          <w:pgMar w:top="1440" w:right="1440" w:bottom="1440" w:left="1440" w:header="432" w:footer="432" w:gutter="0"/>
          <w:cols w:space="720"/>
          <w:docGrid w:linePitch="360"/>
        </w:sectPr>
      </w:pPr>
    </w:p>
    <w:p w:rsidR="00212E69" w:rsidRDefault="00042356" w:rsidP="00212E69">
      <w:pPr>
        <w:pStyle w:val="Heading1"/>
      </w:pPr>
      <w:bookmarkStart w:id="18" w:name="_Toc336506608"/>
      <w:r>
        <w:t>eFINDS Quarterly Drill Report</w:t>
      </w:r>
      <w:bookmarkEnd w:id="18"/>
      <w:r w:rsidR="00212E6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6974"/>
      </w:tblGrid>
      <w:tr w:rsidR="00042356" w:rsidRPr="005D19D2" w:rsidTr="00042356">
        <w:trPr>
          <w:tblHeader/>
          <w:jc w:val="center"/>
        </w:trPr>
        <w:tc>
          <w:tcPr>
            <w:tcW w:w="9989" w:type="dxa"/>
            <w:gridSpan w:val="2"/>
            <w:shd w:val="clear" w:color="auto" w:fill="000080"/>
          </w:tcPr>
          <w:p w:rsidR="00042356" w:rsidRPr="005D19D2" w:rsidRDefault="00042356" w:rsidP="00C62497">
            <w:pPr>
              <w:pStyle w:val="BodyText"/>
              <w:spacing w:before="40" w:after="40"/>
              <w:jc w:val="center"/>
              <w:rPr>
                <w:rFonts w:ascii="Arial" w:hAnsi="Arial" w:cs="Arial"/>
                <w:b/>
              </w:rPr>
            </w:pPr>
            <w:r w:rsidRPr="005D19D2">
              <w:rPr>
                <w:rFonts w:ascii="Arial" w:hAnsi="Arial" w:cs="Arial"/>
                <w:b/>
              </w:rPr>
              <w:t>Drill Information</w:t>
            </w: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Initiating Facility</w:t>
            </w:r>
          </w:p>
        </w:tc>
        <w:tc>
          <w:tcPr>
            <w:tcW w:w="6974" w:type="dxa"/>
          </w:tcPr>
          <w:p w:rsidR="00212E69" w:rsidRPr="00042356" w:rsidRDefault="00212E69" w:rsidP="00C62497">
            <w:pPr>
              <w:pStyle w:val="BodyText"/>
              <w:spacing w:before="40" w:after="40"/>
              <w:rPr>
                <w:rFonts w:ascii="Arial" w:hAnsi="Arial" w:cs="Arial"/>
              </w:rPr>
            </w:pP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Facilitator Name</w:t>
            </w:r>
          </w:p>
        </w:tc>
        <w:tc>
          <w:tcPr>
            <w:tcW w:w="6974" w:type="dxa"/>
          </w:tcPr>
          <w:p w:rsidR="00212E69" w:rsidRPr="00042356" w:rsidRDefault="00212E69" w:rsidP="00C62497">
            <w:pPr>
              <w:pStyle w:val="BodyText"/>
              <w:spacing w:before="40" w:after="40"/>
              <w:rPr>
                <w:rFonts w:ascii="Arial" w:hAnsi="Arial" w:cs="Arial"/>
              </w:rPr>
            </w:pP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Facilitator Phone &amp; Email</w:t>
            </w:r>
          </w:p>
        </w:tc>
        <w:tc>
          <w:tcPr>
            <w:tcW w:w="6974" w:type="dxa"/>
          </w:tcPr>
          <w:p w:rsidR="00212E69" w:rsidRPr="00042356" w:rsidRDefault="00212E69" w:rsidP="00C62497">
            <w:pPr>
              <w:pStyle w:val="BodyText"/>
              <w:spacing w:before="40" w:after="40"/>
              <w:rPr>
                <w:rFonts w:ascii="Arial" w:hAnsi="Arial" w:cs="Arial"/>
              </w:rPr>
            </w:pP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Operation Name</w:t>
            </w:r>
          </w:p>
        </w:tc>
        <w:tc>
          <w:tcPr>
            <w:tcW w:w="6974" w:type="dxa"/>
          </w:tcPr>
          <w:p w:rsidR="00212E69" w:rsidRPr="00042356" w:rsidRDefault="00212E69" w:rsidP="00C62497">
            <w:pPr>
              <w:pStyle w:val="BodyText"/>
              <w:spacing w:before="40" w:after="40"/>
              <w:rPr>
                <w:rFonts w:ascii="Arial" w:hAnsi="Arial" w:cs="Arial"/>
              </w:rPr>
            </w:pP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Drill Date</w:t>
            </w:r>
          </w:p>
        </w:tc>
        <w:tc>
          <w:tcPr>
            <w:tcW w:w="6974" w:type="dxa"/>
          </w:tcPr>
          <w:p w:rsidR="00212E69" w:rsidRPr="00042356" w:rsidRDefault="00212E69" w:rsidP="00C62497">
            <w:pPr>
              <w:pStyle w:val="BodyText"/>
              <w:spacing w:before="40" w:after="40"/>
              <w:rPr>
                <w:rFonts w:ascii="Arial" w:hAnsi="Arial" w:cs="Arial"/>
              </w:rPr>
            </w:pPr>
          </w:p>
        </w:tc>
      </w:tr>
      <w:tr w:rsidR="00212E69" w:rsidRPr="00042356" w:rsidTr="00042356">
        <w:trPr>
          <w:jc w:val="center"/>
        </w:trPr>
        <w:tc>
          <w:tcPr>
            <w:tcW w:w="3015" w:type="dxa"/>
          </w:tcPr>
          <w:p w:rsidR="00212E69" w:rsidRPr="00042356" w:rsidRDefault="00042356" w:rsidP="00C62497">
            <w:pPr>
              <w:pStyle w:val="BodyText"/>
              <w:spacing w:before="40" w:after="40"/>
              <w:rPr>
                <w:rFonts w:ascii="Arial" w:hAnsi="Arial" w:cs="Arial"/>
              </w:rPr>
            </w:pPr>
            <w:r w:rsidRPr="00042356">
              <w:rPr>
                <w:rFonts w:ascii="Arial" w:hAnsi="Arial" w:cs="Arial"/>
              </w:rPr>
              <w:t>Drill Time</w:t>
            </w:r>
          </w:p>
        </w:tc>
        <w:tc>
          <w:tcPr>
            <w:tcW w:w="6974" w:type="dxa"/>
          </w:tcPr>
          <w:p w:rsidR="00212E69" w:rsidRPr="00042356" w:rsidRDefault="00212E69" w:rsidP="00C62497">
            <w:pPr>
              <w:pStyle w:val="BodyText"/>
              <w:spacing w:before="40" w:after="40"/>
              <w:rPr>
                <w:rFonts w:ascii="Arial" w:hAnsi="Arial" w:cs="Arial"/>
              </w:rPr>
            </w:pPr>
          </w:p>
        </w:tc>
      </w:tr>
    </w:tbl>
    <w:p w:rsidR="008D6580" w:rsidRDefault="008D6580" w:rsidP="008D6580">
      <w:pPr>
        <w:pStyle w:val="BodyText"/>
        <w:jc w:val="cente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2497"/>
        <w:gridCol w:w="2497"/>
        <w:gridCol w:w="2498"/>
      </w:tblGrid>
      <w:tr w:rsidR="005D19D2" w:rsidRPr="005D19D2" w:rsidTr="005D19D2">
        <w:trPr>
          <w:tblHeader/>
          <w:jc w:val="center"/>
        </w:trPr>
        <w:tc>
          <w:tcPr>
            <w:tcW w:w="9989" w:type="dxa"/>
            <w:gridSpan w:val="4"/>
            <w:shd w:val="clear" w:color="auto" w:fill="000080"/>
          </w:tcPr>
          <w:p w:rsidR="005D19D2" w:rsidRPr="005D19D2" w:rsidRDefault="005D19D2" w:rsidP="00887202">
            <w:pPr>
              <w:pStyle w:val="BodyText"/>
              <w:spacing w:before="40" w:after="40"/>
              <w:jc w:val="center"/>
              <w:rPr>
                <w:rFonts w:ascii="Arial" w:hAnsi="Arial" w:cs="Arial"/>
                <w:b/>
              </w:rPr>
            </w:pPr>
            <w:r w:rsidRPr="005D19D2">
              <w:rPr>
                <w:rFonts w:ascii="Arial" w:hAnsi="Arial" w:cs="Arial"/>
                <w:b/>
              </w:rPr>
              <w:t>Patient Tracking Information</w:t>
            </w:r>
          </w:p>
        </w:tc>
      </w:tr>
      <w:tr w:rsidR="005D19D2" w:rsidRPr="005D19D2" w:rsidTr="005D19D2">
        <w:trPr>
          <w:jc w:val="center"/>
        </w:trPr>
        <w:tc>
          <w:tcPr>
            <w:tcW w:w="2497" w:type="dxa"/>
          </w:tcPr>
          <w:p w:rsidR="005D19D2" w:rsidRPr="005D19D2" w:rsidRDefault="005D19D2" w:rsidP="005D19D2">
            <w:pPr>
              <w:jc w:val="center"/>
              <w:rPr>
                <w:rFonts w:ascii="Arial" w:hAnsi="Arial" w:cs="Arial"/>
              </w:rPr>
            </w:pPr>
            <w:r w:rsidRPr="005D19D2">
              <w:rPr>
                <w:rFonts w:ascii="Arial" w:hAnsi="Arial" w:cs="Arial"/>
              </w:rPr>
              <w:t>Patient Name</w:t>
            </w:r>
          </w:p>
        </w:tc>
        <w:tc>
          <w:tcPr>
            <w:tcW w:w="2497" w:type="dxa"/>
          </w:tcPr>
          <w:p w:rsidR="005D19D2" w:rsidRPr="005D19D2" w:rsidRDefault="005D19D2" w:rsidP="005D19D2">
            <w:pPr>
              <w:jc w:val="center"/>
              <w:rPr>
                <w:rFonts w:ascii="Arial" w:hAnsi="Arial" w:cs="Arial"/>
              </w:rPr>
            </w:pPr>
            <w:r w:rsidRPr="005D19D2">
              <w:rPr>
                <w:rFonts w:ascii="Arial" w:hAnsi="Arial" w:cs="Arial"/>
              </w:rPr>
              <w:t>Receiving Facility</w:t>
            </w:r>
          </w:p>
        </w:tc>
        <w:tc>
          <w:tcPr>
            <w:tcW w:w="2497" w:type="dxa"/>
          </w:tcPr>
          <w:p w:rsidR="005D19D2" w:rsidRPr="005D19D2" w:rsidRDefault="005D19D2" w:rsidP="005D19D2">
            <w:pPr>
              <w:jc w:val="center"/>
              <w:rPr>
                <w:rFonts w:ascii="Arial" w:hAnsi="Arial" w:cs="Arial"/>
              </w:rPr>
            </w:pPr>
            <w:r w:rsidRPr="005D19D2">
              <w:rPr>
                <w:rFonts w:ascii="Arial" w:hAnsi="Arial" w:cs="Arial"/>
              </w:rPr>
              <w:t>Date &amp; Time Sent</w:t>
            </w:r>
          </w:p>
        </w:tc>
        <w:tc>
          <w:tcPr>
            <w:tcW w:w="2498" w:type="dxa"/>
          </w:tcPr>
          <w:p w:rsidR="005D19D2" w:rsidRPr="005D19D2" w:rsidRDefault="005D19D2" w:rsidP="005D19D2">
            <w:pPr>
              <w:jc w:val="center"/>
              <w:rPr>
                <w:rFonts w:ascii="Arial" w:hAnsi="Arial" w:cs="Arial"/>
              </w:rPr>
            </w:pPr>
            <w:r w:rsidRPr="005D19D2">
              <w:rPr>
                <w:rFonts w:ascii="Arial" w:hAnsi="Arial" w:cs="Arial"/>
              </w:rPr>
              <w:t>Date &amp; Time Received</w:t>
            </w: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r w:rsidR="005D19D2" w:rsidRPr="00042356" w:rsidTr="005D19D2">
        <w:trPr>
          <w:jc w:val="center"/>
        </w:trPr>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7" w:type="dxa"/>
          </w:tcPr>
          <w:p w:rsidR="005D19D2" w:rsidRPr="00042356" w:rsidRDefault="005D19D2" w:rsidP="00887202">
            <w:pPr>
              <w:pStyle w:val="BodyText"/>
              <w:spacing w:before="40" w:after="40"/>
              <w:rPr>
                <w:rFonts w:ascii="Arial" w:hAnsi="Arial" w:cs="Arial"/>
              </w:rPr>
            </w:pPr>
          </w:p>
        </w:tc>
        <w:tc>
          <w:tcPr>
            <w:tcW w:w="2498" w:type="dxa"/>
          </w:tcPr>
          <w:p w:rsidR="005D19D2" w:rsidRPr="00042356" w:rsidRDefault="005D19D2" w:rsidP="00887202">
            <w:pPr>
              <w:pStyle w:val="BodyText"/>
              <w:spacing w:before="40" w:after="40"/>
              <w:rPr>
                <w:rFonts w:ascii="Arial" w:hAnsi="Arial" w:cs="Arial"/>
              </w:rPr>
            </w:pPr>
          </w:p>
        </w:tc>
      </w:tr>
    </w:tbl>
    <w:p w:rsidR="00887202" w:rsidRPr="00887202" w:rsidRDefault="00887202" w:rsidP="005D19D2">
      <w:pPr>
        <w:pStyle w:val="BodyText"/>
        <w:rPr>
          <w:sz w:val="28"/>
        </w:rPr>
      </w:pPr>
    </w:p>
    <w:sectPr w:rsidR="00887202" w:rsidRPr="00887202" w:rsidSect="005D19D2">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D2" w:rsidRDefault="005D19D2" w:rsidP="00116D48">
      <w:r>
        <w:separator/>
      </w:r>
    </w:p>
  </w:endnote>
  <w:endnote w:type="continuationSeparator" w:id="0">
    <w:p w:rsidR="005D19D2" w:rsidRDefault="005D19D2"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D2" w:rsidRDefault="005D19D2" w:rsidP="001B5824">
    <w:pPr>
      <w:pStyle w:val="Footer"/>
      <w:rPr>
        <w:rFonts w:ascii="Arial" w:hAnsi="Arial" w:cs="Arial"/>
        <w:color w:val="000080"/>
        <w:sz w:val="18"/>
        <w:szCs w:val="18"/>
      </w:rPr>
    </w:pPr>
    <w:r>
      <w:rPr>
        <w:rFonts w:ascii="Arial" w:hAnsi="Arial" w:cs="Arial"/>
        <w:color w:val="000080"/>
        <w:sz w:val="18"/>
        <w:szCs w:val="18"/>
      </w:rPr>
      <w:t>Rev. April 2013</w:t>
    </w:r>
  </w:p>
  <w:p w:rsidR="005D19D2" w:rsidRDefault="005D19D2">
    <w:pPr>
      <w:pStyle w:val="Footer"/>
    </w:pPr>
    <w:r>
      <w:rPr>
        <w:rFonts w:ascii="Arial" w:hAnsi="Arial" w:cs="Arial"/>
        <w:color w:val="000080"/>
        <w:sz w:val="18"/>
        <w:szCs w:val="18"/>
      </w:rPr>
      <w:t>HSEEP-DD06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D2" w:rsidRDefault="005D19D2" w:rsidP="00790B7B">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7E1C4F">
      <w:rPr>
        <w:rStyle w:val="PageNumber"/>
        <w:b w:val="0"/>
        <w:noProof/>
      </w:rPr>
      <w:t>1</w:t>
    </w:r>
    <w:r w:rsidRPr="003536F2">
      <w:rPr>
        <w:rStyle w:val="PageNumber"/>
        <w:b w:val="0"/>
      </w:rPr>
      <w:fldChar w:fldCharType="end"/>
    </w:r>
    <w:r w:rsidRPr="003536F2">
      <w:rPr>
        <w:rStyle w:val="PageNumber"/>
        <w:b w:val="0"/>
      </w:rPr>
      <w:tab/>
    </w:r>
    <w:r>
      <w:rPr>
        <w:rStyle w:val="PageNumber"/>
      </w:rPr>
      <w:t>WRHEPC</w:t>
    </w:r>
  </w:p>
  <w:p w:rsidR="005D19D2" w:rsidRPr="00212E69" w:rsidRDefault="005D19D2" w:rsidP="00790B7B">
    <w:pPr>
      <w:pStyle w:val="Header"/>
      <w:pBdr>
        <w:top w:val="single" w:sz="8" w:space="1" w:color="000080"/>
      </w:pBdr>
      <w:tabs>
        <w:tab w:val="center" w:pos="4680"/>
      </w:tabs>
      <w:rPr>
        <w:rStyle w:val="PageNumber"/>
        <w:b w:val="0"/>
        <w:smallCaps/>
        <w:sz w:val="18"/>
        <w:szCs w:val="18"/>
      </w:rPr>
    </w:pPr>
    <w:r>
      <w:rPr>
        <w:rStyle w:val="PageNumber"/>
      </w:rPr>
      <w:tab/>
    </w:r>
    <w:r w:rsidRPr="00BA0E35">
      <w:rPr>
        <w:rStyle w:val="PageNumber"/>
        <w:b w:val="0"/>
        <w:smallCaps/>
        <w:sz w:val="18"/>
        <w:szCs w:val="18"/>
      </w:rPr>
      <w:t>[FOUO]</w:t>
    </w:r>
  </w:p>
  <w:p w:rsidR="005D19D2" w:rsidRDefault="005D19D2">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D2" w:rsidRDefault="005D19D2" w:rsidP="00790B7B">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7E1C4F">
      <w:rPr>
        <w:rStyle w:val="PageNumber"/>
        <w:b w:val="0"/>
        <w:noProof/>
      </w:rPr>
      <w:t>3</w:t>
    </w:r>
    <w:r w:rsidRPr="003536F2">
      <w:rPr>
        <w:rStyle w:val="PageNumber"/>
        <w:b w:val="0"/>
      </w:rPr>
      <w:fldChar w:fldCharType="end"/>
    </w:r>
    <w:r w:rsidRPr="003536F2">
      <w:rPr>
        <w:rStyle w:val="PageNumber"/>
        <w:b w:val="0"/>
      </w:rPr>
      <w:tab/>
    </w:r>
    <w:r>
      <w:rPr>
        <w:rStyle w:val="PageNumber"/>
      </w:rPr>
      <w:t>WRHEPC</w:t>
    </w:r>
  </w:p>
  <w:p w:rsidR="005D19D2" w:rsidRPr="00212E69" w:rsidRDefault="005D19D2" w:rsidP="00790B7B">
    <w:pPr>
      <w:pStyle w:val="Header"/>
      <w:pBdr>
        <w:top w:val="single" w:sz="8" w:space="1" w:color="000080"/>
      </w:pBdr>
      <w:tabs>
        <w:tab w:val="center" w:pos="4680"/>
      </w:tabs>
      <w:rPr>
        <w:rStyle w:val="PageNumber"/>
        <w:b w:val="0"/>
        <w:smallCaps/>
        <w:sz w:val="18"/>
        <w:szCs w:val="18"/>
      </w:rPr>
    </w:pPr>
    <w:r>
      <w:rPr>
        <w:rStyle w:val="PageNumber"/>
      </w:rPr>
      <w:tab/>
    </w:r>
    <w:r w:rsidRPr="00BA0E35">
      <w:rPr>
        <w:rStyle w:val="PageNumber"/>
        <w:b w:val="0"/>
        <w:smallCaps/>
        <w:sz w:val="18"/>
        <w:szCs w:val="18"/>
      </w:rPr>
      <w:t>[FOUO]</w:t>
    </w:r>
  </w:p>
  <w:p w:rsidR="005D19D2" w:rsidRDefault="005D19D2">
    <w:pPr>
      <w:spacing w:before="60"/>
      <w:jc w:val="center"/>
      <w:rPr>
        <w:rFonts w:ascii="Arial" w:hAnsi="Arial" w:cs="Arial"/>
        <w:color w:val="000080"/>
        <w:sz w:val="18"/>
        <w:szCs w:val="18"/>
      </w:rPr>
    </w:pPr>
    <w:r w:rsidRPr="00212E69">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D2" w:rsidRDefault="005D19D2" w:rsidP="00116D48">
      <w:r>
        <w:separator/>
      </w:r>
    </w:p>
  </w:footnote>
  <w:footnote w:type="continuationSeparator" w:id="0">
    <w:p w:rsidR="005D19D2" w:rsidRDefault="005D19D2" w:rsidP="0011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9D2" w:rsidRDefault="005D19D2" w:rsidP="00AB7F4A">
    <w:pPr>
      <w:pStyle w:val="Header"/>
    </w:pPr>
    <w:r>
      <w:t>Exercise Plan</w:t>
    </w:r>
    <w:r w:rsidRPr="007B1B03">
      <w:tab/>
    </w:r>
    <w:r>
      <w:t>Evacuation of Facilities In Disasters System</w:t>
    </w:r>
  </w:p>
  <w:p w:rsidR="005D19D2" w:rsidRPr="00AB7F4A" w:rsidRDefault="005D19D2" w:rsidP="00AB7F4A">
    <w:pPr>
      <w:pStyle w:val="Header"/>
      <w:pBdr>
        <w:bottom w:val="single" w:sz="4" w:space="1" w:color="000080"/>
      </w:pBdr>
      <w:spacing w:after="120"/>
    </w:pPr>
    <w:r>
      <w:rPr>
        <w:szCs w:val="12"/>
      </w:rPr>
      <w:t>(ExPlan)</w:t>
    </w:r>
    <w:r>
      <w:rPr>
        <w:szCs w:val="12"/>
      </w:rPr>
      <w:tab/>
      <w:t>(eFINDS) Quarterly Drill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06A9A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15:restartNumberingAfterBreak="0">
    <w:nsid w:val="FFFFFF88"/>
    <w:multiLevelType w:val="singleLevel"/>
    <w:tmpl w:val="A8CC16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7C8D108"/>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15:restartNumberingAfterBreak="0">
    <w:nsid w:val="04600B13"/>
    <w:multiLevelType w:val="multilevel"/>
    <w:tmpl w:val="0409001D"/>
    <w:numStyleLink w:val="1ai"/>
  </w:abstractNum>
  <w:abstractNum w:abstractNumId="8" w15:restartNumberingAfterBreak="0">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97E9E"/>
    <w:multiLevelType w:val="multilevel"/>
    <w:tmpl w:val="0409001D"/>
    <w:numStyleLink w:val="1ai"/>
  </w:abstractNum>
  <w:abstractNum w:abstractNumId="10" w15:restartNumberingAfterBreak="0">
    <w:nsid w:val="140F3B2F"/>
    <w:multiLevelType w:val="multilevel"/>
    <w:tmpl w:val="0409001D"/>
    <w:numStyleLink w:val="1ai"/>
  </w:abstractNum>
  <w:abstractNum w:abstractNumId="11" w15:restartNumberingAfterBreak="0">
    <w:nsid w:val="14180F34"/>
    <w:multiLevelType w:val="multilevel"/>
    <w:tmpl w:val="0409001D"/>
    <w:numStyleLink w:val="1ai"/>
  </w:abstractNum>
  <w:abstractNum w:abstractNumId="12" w15:restartNumberingAfterBreak="0">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D4AA0"/>
    <w:multiLevelType w:val="multilevel"/>
    <w:tmpl w:val="0409001D"/>
    <w:numStyleLink w:val="1ai"/>
  </w:abstractNum>
  <w:abstractNum w:abstractNumId="14" w15:restartNumberingAfterBreak="0">
    <w:nsid w:val="213117A1"/>
    <w:multiLevelType w:val="multilevel"/>
    <w:tmpl w:val="0409001D"/>
    <w:numStyleLink w:val="1ai"/>
  </w:abstractNum>
  <w:abstractNum w:abstractNumId="15" w15:restartNumberingAfterBreak="0">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E47E7"/>
    <w:multiLevelType w:val="multilevel"/>
    <w:tmpl w:val="0409001D"/>
    <w:numStyleLink w:val="1ai"/>
  </w:abstractNum>
  <w:abstractNum w:abstractNumId="23" w15:restartNumberingAfterBreak="0">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038A7"/>
    <w:multiLevelType w:val="multilevel"/>
    <w:tmpl w:val="0409001D"/>
    <w:numStyleLink w:val="1ai"/>
  </w:abstractNum>
  <w:abstractNum w:abstractNumId="26" w15:restartNumberingAfterBreak="0">
    <w:nsid w:val="58B44944"/>
    <w:multiLevelType w:val="multilevel"/>
    <w:tmpl w:val="0409001D"/>
    <w:numStyleLink w:val="1ai"/>
  </w:abstractNum>
  <w:abstractNum w:abstractNumId="27" w15:restartNumberingAfterBreak="0">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DFC5F5A"/>
    <w:multiLevelType w:val="multilevel"/>
    <w:tmpl w:val="0409001D"/>
    <w:numStyleLink w:val="1ai"/>
  </w:abstractNum>
  <w:abstractNum w:abstractNumId="31" w15:restartNumberingAfterBreak="0">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D13540"/>
    <w:multiLevelType w:val="multilevel"/>
    <w:tmpl w:val="0409001D"/>
    <w:numStyleLink w:val="1ai"/>
  </w:abstractNum>
  <w:abstractNum w:abstractNumId="36" w15:restartNumberingAfterBreak="0">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080758"/>
    <w:multiLevelType w:val="multilevel"/>
    <w:tmpl w:val="0409001D"/>
    <w:numStyleLink w:val="1ai"/>
  </w:abstractNum>
  <w:abstractNum w:abstractNumId="39" w15:restartNumberingAfterBreak="0">
    <w:nsid w:val="7EDE4F9A"/>
    <w:multiLevelType w:val="multilevel"/>
    <w:tmpl w:val="0409001D"/>
    <w:numStyleLink w:val="1ai"/>
  </w:abstractNum>
  <w:num w:numId="1">
    <w:abstractNumId w:val="6"/>
  </w:num>
  <w:num w:numId="2">
    <w:abstractNumId w:val="34"/>
  </w:num>
  <w:num w:numId="3">
    <w:abstractNumId w:val="4"/>
  </w:num>
  <w:num w:numId="4">
    <w:abstractNumId w:val="3"/>
  </w:num>
  <w:num w:numId="5">
    <w:abstractNumId w:val="2"/>
  </w:num>
  <w:num w:numId="6">
    <w:abstractNumId w:val="1"/>
  </w:num>
  <w:num w:numId="7">
    <w:abstractNumId w:val="5"/>
  </w:num>
  <w:num w:numId="8">
    <w:abstractNumId w:val="0"/>
  </w:num>
  <w:num w:numId="9">
    <w:abstractNumId w:val="33"/>
  </w:num>
  <w:num w:numId="10">
    <w:abstractNumId w:val="3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5"/>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6"/>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36"/>
  </w:num>
  <w:num w:numId="20">
    <w:abstractNumId w:val="3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1"/>
  </w:num>
  <w:num w:numId="24">
    <w:abstractNumId w:val="3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4"/>
  </w:num>
  <w:num w:numId="26">
    <w:abstractNumId w:val="23"/>
  </w:num>
  <w:num w:numId="27">
    <w:abstractNumId w:val="20"/>
  </w:num>
  <w:num w:numId="28">
    <w:abstractNumId w:val="37"/>
  </w:num>
  <w:num w:numId="29">
    <w:abstractNumId w:val="12"/>
  </w:num>
  <w:num w:numId="30">
    <w:abstractNumId w:val="8"/>
  </w:num>
  <w:num w:numId="31">
    <w:abstractNumId w:val="16"/>
  </w:num>
  <w:num w:numId="32">
    <w:abstractNumId w:val="21"/>
  </w:num>
  <w:num w:numId="33">
    <w:abstractNumId w:val="18"/>
  </w:num>
  <w:num w:numId="34">
    <w:abstractNumId w:val="29"/>
  </w:num>
  <w:num w:numId="35">
    <w:abstractNumId w:val="32"/>
  </w:num>
  <w:num w:numId="36">
    <w:abstractNumId w:val="15"/>
  </w:num>
  <w:num w:numId="37">
    <w:abstractNumId w:val="19"/>
  </w:num>
  <w:num w:numId="38">
    <w:abstractNumId w:val="27"/>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48"/>
    <w:rsid w:val="00011F2A"/>
    <w:rsid w:val="0003069C"/>
    <w:rsid w:val="00033916"/>
    <w:rsid w:val="00035002"/>
    <w:rsid w:val="00042356"/>
    <w:rsid w:val="0004441B"/>
    <w:rsid w:val="00052F78"/>
    <w:rsid w:val="000866B9"/>
    <w:rsid w:val="000921C0"/>
    <w:rsid w:val="000A6B8D"/>
    <w:rsid w:val="000B7A9A"/>
    <w:rsid w:val="000C0C08"/>
    <w:rsid w:val="000C5026"/>
    <w:rsid w:val="000E5C1B"/>
    <w:rsid w:val="001038E6"/>
    <w:rsid w:val="00115EAB"/>
    <w:rsid w:val="00116D48"/>
    <w:rsid w:val="00126A4C"/>
    <w:rsid w:val="00134781"/>
    <w:rsid w:val="00142832"/>
    <w:rsid w:val="00144D60"/>
    <w:rsid w:val="001655DA"/>
    <w:rsid w:val="00167858"/>
    <w:rsid w:val="001707F7"/>
    <w:rsid w:val="001859DE"/>
    <w:rsid w:val="001963C3"/>
    <w:rsid w:val="001B5824"/>
    <w:rsid w:val="001B71A4"/>
    <w:rsid w:val="001C6DB2"/>
    <w:rsid w:val="001D4ECD"/>
    <w:rsid w:val="001D5B88"/>
    <w:rsid w:val="001E12FA"/>
    <w:rsid w:val="001F71A0"/>
    <w:rsid w:val="00204EAB"/>
    <w:rsid w:val="00212E69"/>
    <w:rsid w:val="0024424A"/>
    <w:rsid w:val="002A0096"/>
    <w:rsid w:val="002A1512"/>
    <w:rsid w:val="002A5A3D"/>
    <w:rsid w:val="002A5D80"/>
    <w:rsid w:val="002B2631"/>
    <w:rsid w:val="002B3E1C"/>
    <w:rsid w:val="002B4F51"/>
    <w:rsid w:val="002D13B0"/>
    <w:rsid w:val="002D24E3"/>
    <w:rsid w:val="002D331B"/>
    <w:rsid w:val="002F28FA"/>
    <w:rsid w:val="00300313"/>
    <w:rsid w:val="0031563A"/>
    <w:rsid w:val="003369C3"/>
    <w:rsid w:val="00353EF9"/>
    <w:rsid w:val="00360A30"/>
    <w:rsid w:val="003662F5"/>
    <w:rsid w:val="003757DC"/>
    <w:rsid w:val="003760B7"/>
    <w:rsid w:val="003844AE"/>
    <w:rsid w:val="003B5587"/>
    <w:rsid w:val="003B69BE"/>
    <w:rsid w:val="003D2E0C"/>
    <w:rsid w:val="0040190F"/>
    <w:rsid w:val="004206FC"/>
    <w:rsid w:val="00426ADB"/>
    <w:rsid w:val="0043139D"/>
    <w:rsid w:val="00452717"/>
    <w:rsid w:val="00454188"/>
    <w:rsid w:val="00460A13"/>
    <w:rsid w:val="0049639C"/>
    <w:rsid w:val="004A7377"/>
    <w:rsid w:val="004B7D16"/>
    <w:rsid w:val="004C166F"/>
    <w:rsid w:val="004E06A2"/>
    <w:rsid w:val="004E2A71"/>
    <w:rsid w:val="004E2F7D"/>
    <w:rsid w:val="004F110B"/>
    <w:rsid w:val="004F326C"/>
    <w:rsid w:val="004F532B"/>
    <w:rsid w:val="004F7DD4"/>
    <w:rsid w:val="005018E2"/>
    <w:rsid w:val="00507C55"/>
    <w:rsid w:val="005203E2"/>
    <w:rsid w:val="0052469F"/>
    <w:rsid w:val="00532F4E"/>
    <w:rsid w:val="00546A4E"/>
    <w:rsid w:val="00550476"/>
    <w:rsid w:val="0057272B"/>
    <w:rsid w:val="00576061"/>
    <w:rsid w:val="005D19D2"/>
    <w:rsid w:val="005D3002"/>
    <w:rsid w:val="00614F57"/>
    <w:rsid w:val="00624786"/>
    <w:rsid w:val="0062551D"/>
    <w:rsid w:val="00640C02"/>
    <w:rsid w:val="00650C46"/>
    <w:rsid w:val="0065212B"/>
    <w:rsid w:val="00652A8F"/>
    <w:rsid w:val="00657735"/>
    <w:rsid w:val="00691479"/>
    <w:rsid w:val="006A52E5"/>
    <w:rsid w:val="006B77D2"/>
    <w:rsid w:val="006E2308"/>
    <w:rsid w:val="006E6BD6"/>
    <w:rsid w:val="00701D12"/>
    <w:rsid w:val="00723A64"/>
    <w:rsid w:val="007301EF"/>
    <w:rsid w:val="0073363E"/>
    <w:rsid w:val="00761AB5"/>
    <w:rsid w:val="00764D90"/>
    <w:rsid w:val="00790B7B"/>
    <w:rsid w:val="007A0C0B"/>
    <w:rsid w:val="007B0F38"/>
    <w:rsid w:val="007E1C4F"/>
    <w:rsid w:val="007E6432"/>
    <w:rsid w:val="007E7D85"/>
    <w:rsid w:val="007F061B"/>
    <w:rsid w:val="007F439D"/>
    <w:rsid w:val="007F5968"/>
    <w:rsid w:val="008031B4"/>
    <w:rsid w:val="008047EC"/>
    <w:rsid w:val="00823017"/>
    <w:rsid w:val="00847095"/>
    <w:rsid w:val="00861782"/>
    <w:rsid w:val="0088027D"/>
    <w:rsid w:val="00887202"/>
    <w:rsid w:val="00891545"/>
    <w:rsid w:val="0089158E"/>
    <w:rsid w:val="008A2B21"/>
    <w:rsid w:val="008A3B59"/>
    <w:rsid w:val="008B6D79"/>
    <w:rsid w:val="008C434E"/>
    <w:rsid w:val="008C6243"/>
    <w:rsid w:val="008D3F68"/>
    <w:rsid w:val="008D6580"/>
    <w:rsid w:val="008E5E6E"/>
    <w:rsid w:val="008E6C03"/>
    <w:rsid w:val="008E7380"/>
    <w:rsid w:val="008F54C3"/>
    <w:rsid w:val="00901331"/>
    <w:rsid w:val="00901E5F"/>
    <w:rsid w:val="009249A6"/>
    <w:rsid w:val="00925171"/>
    <w:rsid w:val="00926D13"/>
    <w:rsid w:val="009434EB"/>
    <w:rsid w:val="009537A1"/>
    <w:rsid w:val="009866B5"/>
    <w:rsid w:val="009947AE"/>
    <w:rsid w:val="00996B02"/>
    <w:rsid w:val="00996EAC"/>
    <w:rsid w:val="009A3764"/>
    <w:rsid w:val="009A7E5B"/>
    <w:rsid w:val="009D11D2"/>
    <w:rsid w:val="009E09D2"/>
    <w:rsid w:val="009E4097"/>
    <w:rsid w:val="00A002A3"/>
    <w:rsid w:val="00A2751E"/>
    <w:rsid w:val="00A343A4"/>
    <w:rsid w:val="00A3505C"/>
    <w:rsid w:val="00A43A33"/>
    <w:rsid w:val="00A43D18"/>
    <w:rsid w:val="00A4611C"/>
    <w:rsid w:val="00A465D6"/>
    <w:rsid w:val="00A51FAB"/>
    <w:rsid w:val="00A55121"/>
    <w:rsid w:val="00A74951"/>
    <w:rsid w:val="00A75CDD"/>
    <w:rsid w:val="00A83003"/>
    <w:rsid w:val="00A84281"/>
    <w:rsid w:val="00A8612B"/>
    <w:rsid w:val="00A869D1"/>
    <w:rsid w:val="00A8708E"/>
    <w:rsid w:val="00A930AC"/>
    <w:rsid w:val="00A96C03"/>
    <w:rsid w:val="00AA6F8B"/>
    <w:rsid w:val="00AB7F4A"/>
    <w:rsid w:val="00AF368F"/>
    <w:rsid w:val="00AF75DC"/>
    <w:rsid w:val="00B151A1"/>
    <w:rsid w:val="00B1767F"/>
    <w:rsid w:val="00B177F6"/>
    <w:rsid w:val="00B2586E"/>
    <w:rsid w:val="00B84C72"/>
    <w:rsid w:val="00B94968"/>
    <w:rsid w:val="00B94C93"/>
    <w:rsid w:val="00B958C2"/>
    <w:rsid w:val="00B95D87"/>
    <w:rsid w:val="00BA0E35"/>
    <w:rsid w:val="00BA1852"/>
    <w:rsid w:val="00BA6CB4"/>
    <w:rsid w:val="00BB0E22"/>
    <w:rsid w:val="00BC453F"/>
    <w:rsid w:val="00BD00B8"/>
    <w:rsid w:val="00BD0631"/>
    <w:rsid w:val="00BD7E74"/>
    <w:rsid w:val="00BE5755"/>
    <w:rsid w:val="00BE6309"/>
    <w:rsid w:val="00C00CAA"/>
    <w:rsid w:val="00C03B12"/>
    <w:rsid w:val="00C23B3C"/>
    <w:rsid w:val="00C3512A"/>
    <w:rsid w:val="00C407EC"/>
    <w:rsid w:val="00C441BD"/>
    <w:rsid w:val="00C443EA"/>
    <w:rsid w:val="00C46D0E"/>
    <w:rsid w:val="00C62497"/>
    <w:rsid w:val="00C66277"/>
    <w:rsid w:val="00C70827"/>
    <w:rsid w:val="00C76BAA"/>
    <w:rsid w:val="00C86799"/>
    <w:rsid w:val="00C94561"/>
    <w:rsid w:val="00CB2B1F"/>
    <w:rsid w:val="00CC3647"/>
    <w:rsid w:val="00CD02DE"/>
    <w:rsid w:val="00CD3F6F"/>
    <w:rsid w:val="00CE3B51"/>
    <w:rsid w:val="00CF07B3"/>
    <w:rsid w:val="00CF0CC4"/>
    <w:rsid w:val="00CF6598"/>
    <w:rsid w:val="00CF65A7"/>
    <w:rsid w:val="00CF6EFC"/>
    <w:rsid w:val="00D060CD"/>
    <w:rsid w:val="00D106EF"/>
    <w:rsid w:val="00D14FDA"/>
    <w:rsid w:val="00D16223"/>
    <w:rsid w:val="00D577E5"/>
    <w:rsid w:val="00D6119A"/>
    <w:rsid w:val="00D6702B"/>
    <w:rsid w:val="00D80481"/>
    <w:rsid w:val="00D85BF5"/>
    <w:rsid w:val="00DC0164"/>
    <w:rsid w:val="00DD3CEA"/>
    <w:rsid w:val="00E03E53"/>
    <w:rsid w:val="00E43215"/>
    <w:rsid w:val="00E47025"/>
    <w:rsid w:val="00E54D72"/>
    <w:rsid w:val="00E67130"/>
    <w:rsid w:val="00E84A01"/>
    <w:rsid w:val="00EC6B4E"/>
    <w:rsid w:val="00ED493B"/>
    <w:rsid w:val="00EE6EA3"/>
    <w:rsid w:val="00EE73FD"/>
    <w:rsid w:val="00EF2A3A"/>
    <w:rsid w:val="00EF3601"/>
    <w:rsid w:val="00F148CB"/>
    <w:rsid w:val="00F15968"/>
    <w:rsid w:val="00F16080"/>
    <w:rsid w:val="00F33C1A"/>
    <w:rsid w:val="00F42A7C"/>
    <w:rsid w:val="00F5464A"/>
    <w:rsid w:val="00F54B4C"/>
    <w:rsid w:val="00F559A9"/>
    <w:rsid w:val="00F6488F"/>
    <w:rsid w:val="00F701F5"/>
    <w:rsid w:val="00F87542"/>
    <w:rsid w:val="00F875F0"/>
    <w:rsid w:val="00F957ED"/>
    <w:rsid w:val="00FA6E07"/>
    <w:rsid w:val="00FC1720"/>
    <w:rsid w:val="00FC3E0C"/>
    <w:rsid w:val="00FD1B24"/>
    <w:rsid w:val="00FD6365"/>
    <w:rsid w:val="00FF126A"/>
    <w:rsid w:val="00FF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3C970F4F-36EE-481B-9BB0-473C689F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uiPriority w:val="59"/>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paragraph" w:customStyle="1" w:styleId="VersionNumber">
    <w:name w:val="Version Number"/>
    <w:basedOn w:val="BodyText"/>
    <w:qFormat/>
    <w:rsid w:val="004F326C"/>
    <w:pPr>
      <w:spacing w:before="48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7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43242-65F1-4E90-83D0-79A440E8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1565</Words>
  <Characters>8927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Exercise Plan Template</vt:lpstr>
    </vt:vector>
  </TitlesOfParts>
  <Company>Chemung County</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Plan Template</dc:title>
  <dc:creator>HSEEP Support Team</dc:creator>
  <cp:keywords>HSEEP, Template, Exercise Plan, ExPlan, Design and Development</cp:keywords>
  <cp:lastModifiedBy>Spezio, Eileen</cp:lastModifiedBy>
  <cp:revision>2</cp:revision>
  <cp:lastPrinted>2012-11-05T15:32:00Z</cp:lastPrinted>
  <dcterms:created xsi:type="dcterms:W3CDTF">2017-06-27T19:11:00Z</dcterms:created>
  <dcterms:modified xsi:type="dcterms:W3CDTF">2017-06-27T19:11:00Z</dcterms:modified>
  <cp:category>Template</cp:category>
</cp:coreProperties>
</file>